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2A55F3B7" w:rsidR="000A4B61" w:rsidRPr="00982A60" w:rsidRDefault="000A4B61" w:rsidP="00982A60">
      <w:pPr>
        <w:pStyle w:val="CRCoverPage"/>
        <w:tabs>
          <w:tab w:val="right" w:pos="9639"/>
        </w:tabs>
        <w:spacing w:after="0"/>
        <w:rPr>
          <w:b/>
          <w:sz w:val="24"/>
        </w:rPr>
      </w:pPr>
      <w:r w:rsidRPr="00E30475">
        <w:rPr>
          <w:b/>
          <w:sz w:val="24"/>
        </w:rPr>
        <w:t>3GPP TSG-RAN WG2 Meeting #1</w:t>
      </w:r>
      <w:r w:rsidR="00500D3F" w:rsidRPr="00E30475">
        <w:rPr>
          <w:b/>
          <w:sz w:val="24"/>
        </w:rPr>
        <w:t>2</w:t>
      </w:r>
      <w:r w:rsidR="000C3A55">
        <w:rPr>
          <w:b/>
          <w:sz w:val="24"/>
        </w:rPr>
        <w:t>4</w:t>
      </w:r>
      <w:r w:rsidRPr="00982A60">
        <w:rPr>
          <w:b/>
          <w:sz w:val="24"/>
        </w:rPr>
        <w:tab/>
      </w:r>
      <w:r w:rsidR="00A61DB5" w:rsidRPr="00A61DB5">
        <w:rPr>
          <w:b/>
          <w:sz w:val="24"/>
        </w:rPr>
        <w:t>R2-2312366</w:t>
      </w:r>
    </w:p>
    <w:p w14:paraId="7BE55ADA" w14:textId="0E5A71EB" w:rsidR="00006A82" w:rsidRPr="00E30475" w:rsidRDefault="000C3A55" w:rsidP="000A4B61">
      <w:pPr>
        <w:pStyle w:val="CRCoverPage"/>
        <w:tabs>
          <w:tab w:val="right" w:pos="9639"/>
        </w:tabs>
        <w:spacing w:after="0"/>
        <w:rPr>
          <w:rFonts w:eastAsia="宋体"/>
          <w:b/>
          <w:sz w:val="24"/>
        </w:rPr>
      </w:pPr>
      <w:r>
        <w:rPr>
          <w:b/>
          <w:sz w:val="24"/>
        </w:rPr>
        <w:t>Chicago</w:t>
      </w:r>
      <w:r w:rsidR="005B3FDE" w:rsidRPr="00E30475">
        <w:rPr>
          <w:b/>
          <w:sz w:val="24"/>
        </w:rPr>
        <w:t>,</w:t>
      </w:r>
      <w:r>
        <w:rPr>
          <w:b/>
          <w:sz w:val="24"/>
        </w:rPr>
        <w:t xml:space="preserve"> US</w:t>
      </w:r>
      <w:r w:rsidR="00023152">
        <w:rPr>
          <w:b/>
          <w:sz w:val="24"/>
        </w:rPr>
        <w:t xml:space="preserve">, </w:t>
      </w:r>
      <w:r>
        <w:rPr>
          <w:b/>
          <w:sz w:val="24"/>
        </w:rPr>
        <w:t>13</w:t>
      </w:r>
      <w:r w:rsidR="0099132B" w:rsidRPr="0099132B">
        <w:rPr>
          <w:b/>
          <w:sz w:val="24"/>
          <w:vertAlign w:val="superscript"/>
        </w:rPr>
        <w:t>th</w:t>
      </w:r>
      <w:r w:rsidR="0099132B">
        <w:rPr>
          <w:b/>
          <w:sz w:val="24"/>
        </w:rPr>
        <w:t xml:space="preserve"> –</w:t>
      </w:r>
      <w:r>
        <w:rPr>
          <w:b/>
          <w:sz w:val="24"/>
        </w:rPr>
        <w:t xml:space="preserve"> 17</w:t>
      </w:r>
      <w:r w:rsidR="0099132B" w:rsidRPr="0099132B">
        <w:rPr>
          <w:b/>
          <w:sz w:val="24"/>
          <w:vertAlign w:val="superscript"/>
        </w:rPr>
        <w:t>th</w:t>
      </w:r>
      <w:r w:rsidR="00023152">
        <w:rPr>
          <w:b/>
          <w:sz w:val="24"/>
        </w:rPr>
        <w:t xml:space="preserve"> </w:t>
      </w:r>
      <w:r>
        <w:rPr>
          <w:b/>
          <w:sz w:val="24"/>
        </w:rPr>
        <w:t>November</w:t>
      </w:r>
      <w:r w:rsidR="00454CF6">
        <w:rPr>
          <w:b/>
          <w:sz w:val="24"/>
        </w:rPr>
        <w:t>,</w:t>
      </w:r>
      <w:r w:rsidR="00B93516" w:rsidRPr="00E30475">
        <w:rPr>
          <w:b/>
          <w:sz w:val="24"/>
        </w:rPr>
        <w:t xml:space="preserve"> 2023</w:t>
      </w:r>
    </w:p>
    <w:p w14:paraId="28DB4DAA" w14:textId="77777777" w:rsidR="00006A82" w:rsidRPr="00D92FCA" w:rsidRDefault="00006A82" w:rsidP="00955170">
      <w:pPr>
        <w:pStyle w:val="3GPPHeader"/>
        <w:rPr>
          <w:rFonts w:eastAsia="MS Mincho" w:cs="Arial"/>
          <w:szCs w:val="24"/>
          <w:lang w:eastAsia="en-US"/>
        </w:rPr>
      </w:pPr>
    </w:p>
    <w:p w14:paraId="003F3EF7" w14:textId="01EC4C1B"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0C3A55">
        <w:rPr>
          <w:rFonts w:ascii="Arial" w:eastAsia="MS Mincho" w:hAnsi="Arial" w:cs="Arial"/>
          <w:szCs w:val="24"/>
          <w:lang w:eastAsia="en-US"/>
        </w:rPr>
        <w:t>7.12.2.4</w:t>
      </w:r>
    </w:p>
    <w:p w14:paraId="155F32CB" w14:textId="77777777" w:rsidR="00955170" w:rsidRPr="002328E6" w:rsidRDefault="00955170" w:rsidP="00955170">
      <w:pPr>
        <w:pStyle w:val="3GPPHeader"/>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t>Huawei, HiSilicon</w:t>
      </w:r>
    </w:p>
    <w:p w14:paraId="002C5DE8" w14:textId="25DC731A" w:rsidR="006D529F" w:rsidRPr="002328E6" w:rsidRDefault="00955170" w:rsidP="0054257E">
      <w:pPr>
        <w:pStyle w:val="3GPPHeader"/>
        <w:ind w:left="1699" w:hangingChars="705" w:hanging="1699"/>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0C3A55" w:rsidRPr="000C3A55">
        <w:rPr>
          <w:rFonts w:ascii="Arial" w:eastAsia="MS Mincho" w:hAnsi="Arial" w:cs="Arial"/>
          <w:szCs w:val="24"/>
          <w:lang w:eastAsia="en-US"/>
        </w:rPr>
        <w:t xml:space="preserve">Views on the usage of </w:t>
      </w:r>
      <w:r w:rsidR="009A5443">
        <w:rPr>
          <w:rFonts w:ascii="Arial" w:eastAsia="MS Mincho" w:hAnsi="Arial" w:cs="Arial"/>
          <w:szCs w:val="24"/>
          <w:lang w:eastAsia="en-US"/>
        </w:rPr>
        <w:t>SIB4 (frequency/cell list)</w:t>
      </w:r>
      <w:r w:rsidR="0015400A">
        <w:rPr>
          <w:rFonts w:ascii="Arial" w:eastAsia="MS Mincho" w:hAnsi="Arial" w:cs="Arial"/>
          <w:szCs w:val="24"/>
          <w:lang w:eastAsia="en-US"/>
        </w:rPr>
        <w:t xml:space="preserve"> assistance informa</w:t>
      </w:r>
      <w:r w:rsidR="00BD4EBB">
        <w:rPr>
          <w:rFonts w:ascii="Arial" w:eastAsia="MS Mincho" w:hAnsi="Arial" w:cs="Arial"/>
          <w:szCs w:val="24"/>
          <w:lang w:eastAsia="en-US"/>
        </w:rPr>
        <w:t>tion</w:t>
      </w:r>
      <w:r w:rsidR="009A5443">
        <w:rPr>
          <w:rFonts w:ascii="Arial" w:eastAsia="MS Mincho" w:hAnsi="Arial" w:cs="Arial"/>
          <w:szCs w:val="24"/>
          <w:lang w:eastAsia="en-US"/>
        </w:rPr>
        <w:t xml:space="preserve"> for cell re</w:t>
      </w:r>
      <w:r w:rsidR="000C3A55" w:rsidRPr="000C3A55">
        <w:rPr>
          <w:rFonts w:ascii="Arial" w:eastAsia="MS Mincho" w:hAnsi="Arial" w:cs="Arial"/>
          <w:szCs w:val="24"/>
          <w:lang w:eastAsia="en-US"/>
        </w:rPr>
        <w:t>selection</w:t>
      </w:r>
    </w:p>
    <w:p w14:paraId="411B4C0D" w14:textId="77777777" w:rsidR="00955170" w:rsidRPr="002328E6" w:rsidRDefault="00955170" w:rsidP="00144880">
      <w:pPr>
        <w:tabs>
          <w:tab w:val="left" w:pos="1985"/>
        </w:tabs>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p>
    <w:p w14:paraId="102DEFE8" w14:textId="6C2D324D"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638E02B4" w14:textId="1E8E6A82" w:rsidR="005930C4" w:rsidRDefault="005930C4" w:rsidP="005930C4">
      <w:r w:rsidRPr="005930C4">
        <w:t>During the RAN2#123</w:t>
      </w:r>
      <w:r w:rsidR="002D4366">
        <w:t>bis</w:t>
      </w:r>
      <w:r w:rsidRPr="005930C4">
        <w:t xml:space="preserve"> meeti</w:t>
      </w:r>
      <w:r>
        <w:t xml:space="preserve">ng, following agreements </w:t>
      </w:r>
      <w:r w:rsidR="004E443A">
        <w:fldChar w:fldCharType="begin"/>
      </w:r>
      <w:r w:rsidR="004E443A">
        <w:instrText xml:space="preserve"> REF _Ref149136955 \r \h </w:instrText>
      </w:r>
      <w:r w:rsidR="004E443A">
        <w:fldChar w:fldCharType="separate"/>
      </w:r>
      <w:r w:rsidR="004E443A">
        <w:t>[1]</w:t>
      </w:r>
      <w:r w:rsidR="004E443A">
        <w:fldChar w:fldCharType="end"/>
      </w:r>
      <w:r w:rsidR="004E443A">
        <w:t xml:space="preserve"> </w:t>
      </w:r>
      <w:r w:rsidRPr="005930C4">
        <w:t>were achieved for mobi</w:t>
      </w:r>
      <w:r w:rsidR="002D4366">
        <w:t>le IAB mobility enhancement of idle/i</w:t>
      </w:r>
      <w:r w:rsidRPr="005930C4">
        <w:t>nactive mode UE.</w:t>
      </w:r>
    </w:p>
    <w:p w14:paraId="5A0AA548" w14:textId="77777777" w:rsidR="005930C4" w:rsidRPr="005930C4" w:rsidRDefault="005930C4" w:rsidP="002D4366">
      <w:pPr>
        <w:pStyle w:val="Agreement"/>
        <w:numPr>
          <w:ilvl w:val="0"/>
          <w:numId w:val="23"/>
        </w:numPr>
        <w:rPr>
          <w:rFonts w:ascii="Arial" w:hAnsi="Arial"/>
        </w:rPr>
      </w:pPr>
      <w:r w:rsidRPr="005930C4">
        <w:rPr>
          <w:rFonts w:ascii="Arial" w:hAnsi="Arial"/>
        </w:rPr>
        <w:t>P1: mIAB PCI list is optional present (i.e., not mandatory) for indicated mIAB frequency (confirming that mIAB PCI list is introduced)</w:t>
      </w:r>
    </w:p>
    <w:p w14:paraId="65739897" w14:textId="77777777" w:rsidR="005930C4" w:rsidRPr="005930C4" w:rsidRDefault="005930C4" w:rsidP="002D4366">
      <w:pPr>
        <w:pStyle w:val="Agreement"/>
        <w:numPr>
          <w:ilvl w:val="0"/>
          <w:numId w:val="23"/>
        </w:numPr>
        <w:rPr>
          <w:rFonts w:ascii="Arial" w:hAnsi="Arial"/>
        </w:rPr>
      </w:pPr>
      <w:r w:rsidRPr="005930C4">
        <w:rPr>
          <w:rFonts w:ascii="Arial" w:hAnsi="Arial"/>
        </w:rPr>
        <w:t>P7: it is left to UE implementation to determine an actual prioritized frequency among frequencies that can be prioritized for mIAB cell/HSDN/MBS/SL/V2X?</w:t>
      </w:r>
    </w:p>
    <w:p w14:paraId="1EB1C61A" w14:textId="77777777" w:rsidR="005930C4" w:rsidRPr="005930C4" w:rsidRDefault="005930C4" w:rsidP="002D4366">
      <w:pPr>
        <w:pStyle w:val="Agreement"/>
        <w:numPr>
          <w:ilvl w:val="0"/>
          <w:numId w:val="23"/>
        </w:numPr>
        <w:rPr>
          <w:rFonts w:ascii="Arial" w:hAnsi="Arial"/>
        </w:rPr>
      </w:pPr>
      <w:r w:rsidRPr="005930C4">
        <w:rPr>
          <w:rFonts w:ascii="Arial" w:hAnsi="Arial"/>
        </w:rPr>
        <w:t xml:space="preserve">P8: Existing Note 0c in TS 38.304 is applicable for the prioritization between mIAB cell/HSDN/MBS/SL/V2X. So, no or marginal additional specification work is needed. </w:t>
      </w:r>
    </w:p>
    <w:p w14:paraId="7FECFF35" w14:textId="77777777" w:rsidR="002D4366" w:rsidRDefault="005930C4" w:rsidP="002D4366">
      <w:pPr>
        <w:pStyle w:val="Agreement"/>
        <w:numPr>
          <w:ilvl w:val="0"/>
          <w:numId w:val="23"/>
        </w:numPr>
        <w:rPr>
          <w:rFonts w:ascii="Arial" w:hAnsi="Arial"/>
        </w:rPr>
      </w:pPr>
      <w:r w:rsidRPr="005930C4">
        <w:rPr>
          <w:rFonts w:ascii="Arial" w:hAnsi="Arial"/>
        </w:rPr>
        <w:t xml:space="preserve">FFS: </w:t>
      </w:r>
    </w:p>
    <w:p w14:paraId="666FF4E3" w14:textId="77777777" w:rsidR="002D4366" w:rsidRDefault="005930C4" w:rsidP="002D4366">
      <w:pPr>
        <w:pStyle w:val="Agreement"/>
        <w:numPr>
          <w:ilvl w:val="0"/>
          <w:numId w:val="0"/>
        </w:numPr>
        <w:ind w:left="420"/>
        <w:rPr>
          <w:rFonts w:ascii="Arial" w:hAnsi="Arial"/>
        </w:rPr>
      </w:pPr>
      <w:r w:rsidRPr="002D4366">
        <w:rPr>
          <w:rFonts w:ascii="Arial" w:hAnsi="Arial"/>
        </w:rPr>
        <w:t xml:space="preserve">P2: To discuss further  if mIAB PCI list is not necessarily exclusive, i.e., the PCI list may or may not include PCIs of non-mIAB cell. </w:t>
      </w:r>
    </w:p>
    <w:p w14:paraId="3A2BED98" w14:textId="70128DB1" w:rsidR="005930C4" w:rsidRPr="005930C4" w:rsidRDefault="005930C4" w:rsidP="002D4366">
      <w:pPr>
        <w:pStyle w:val="Agreement"/>
        <w:numPr>
          <w:ilvl w:val="0"/>
          <w:numId w:val="0"/>
        </w:numPr>
        <w:ind w:left="420"/>
        <w:rPr>
          <w:rFonts w:ascii="Arial" w:hAnsi="Arial"/>
        </w:rPr>
      </w:pPr>
      <w:r w:rsidRPr="005930C4">
        <w:rPr>
          <w:rFonts w:ascii="Arial" w:hAnsi="Arial"/>
        </w:rPr>
        <w:t>P3: To discuss further if mIAB PCI list is not necessarily complete, i.e., the PCI list may or may not include all possible mIAB PCIs.</w:t>
      </w:r>
    </w:p>
    <w:p w14:paraId="4246B4AA" w14:textId="77777777" w:rsidR="005930C4" w:rsidRDefault="005930C4" w:rsidP="005930C4">
      <w:pPr>
        <w:pStyle w:val="Doc-text2"/>
      </w:pPr>
    </w:p>
    <w:p w14:paraId="2200C598" w14:textId="47466059" w:rsidR="005930C4" w:rsidRPr="00E30475" w:rsidRDefault="005930C4" w:rsidP="005930C4">
      <w:pPr>
        <w:spacing w:after="60"/>
      </w:pPr>
      <w:r w:rsidRPr="007D59D8">
        <w:t xml:space="preserve">This contribution mainly focuses on the </w:t>
      </w:r>
      <w:r w:rsidR="00D82421">
        <w:t>usage of the assistance information in SIB4 for UE cell reselection</w:t>
      </w:r>
      <w:r w:rsidRPr="007D59D8">
        <w:t>.</w:t>
      </w:r>
    </w:p>
    <w:p w14:paraId="43B4CC6F" w14:textId="075CEBA3" w:rsidR="00D92FCA" w:rsidRPr="00D92FCA" w:rsidRDefault="00D92FCA" w:rsidP="00D92FCA">
      <w:pPr>
        <w:keepNext/>
        <w:keepLines/>
        <w:pBdr>
          <w:top w:val="single" w:sz="12" w:space="3" w:color="auto"/>
        </w:pBdr>
        <w:spacing w:before="240"/>
        <w:ind w:left="1134" w:hanging="1134"/>
        <w:outlineLvl w:val="0"/>
        <w:rPr>
          <w:rFonts w:ascii="Arial" w:eastAsia="Malgun Gothic" w:hAnsi="Arial"/>
          <w:sz w:val="36"/>
          <w:lang w:eastAsia="de-DE"/>
        </w:rPr>
      </w:pPr>
      <w:bookmarkStart w:id="0" w:name="_Toc499559238"/>
      <w:bookmarkStart w:id="1" w:name="_Toc61387172"/>
      <w:bookmarkStart w:id="2" w:name="_Toc147158671"/>
      <w:r>
        <w:rPr>
          <w:rFonts w:ascii="Arial" w:eastAsia="Malgun Gothic" w:hAnsi="Arial"/>
          <w:sz w:val="36"/>
          <w:lang w:eastAsia="de-DE"/>
        </w:rPr>
        <w:t>2</w:t>
      </w:r>
      <w:r w:rsidRPr="00D92FCA">
        <w:rPr>
          <w:rFonts w:ascii="Arial" w:eastAsia="Malgun Gothic" w:hAnsi="Arial"/>
          <w:sz w:val="36"/>
          <w:lang w:eastAsia="de-DE"/>
        </w:rPr>
        <w:tab/>
      </w:r>
      <w:r>
        <w:rPr>
          <w:rFonts w:ascii="Arial" w:eastAsia="Malgun Gothic" w:hAnsi="Arial"/>
          <w:sz w:val="36"/>
          <w:lang w:eastAsia="de-DE"/>
        </w:rPr>
        <w:t>Discussion</w:t>
      </w:r>
      <w:bookmarkEnd w:id="0"/>
      <w:bookmarkEnd w:id="1"/>
      <w:bookmarkEnd w:id="2"/>
    </w:p>
    <w:p w14:paraId="0A138CED" w14:textId="0167BA70" w:rsidR="00D92FCA" w:rsidRPr="00D92FCA" w:rsidRDefault="00F66E9E" w:rsidP="00D92FCA">
      <w:pPr>
        <w:keepNext/>
        <w:keepLines/>
        <w:spacing w:before="180"/>
        <w:ind w:left="1134" w:hanging="1134"/>
        <w:outlineLvl w:val="1"/>
        <w:rPr>
          <w:rFonts w:ascii="Arial" w:eastAsia="Malgun Gothic" w:hAnsi="Arial"/>
          <w:sz w:val="32"/>
          <w:lang w:eastAsia="de-DE"/>
        </w:rPr>
      </w:pPr>
      <w:bookmarkStart w:id="3" w:name="_Toc499559239"/>
      <w:bookmarkStart w:id="4" w:name="_Toc61387173"/>
      <w:bookmarkStart w:id="5" w:name="_Toc147158672"/>
      <w:r>
        <w:rPr>
          <w:rFonts w:ascii="Arial" w:eastAsia="Malgun Gothic" w:hAnsi="Arial"/>
          <w:sz w:val="32"/>
          <w:lang w:eastAsia="de-DE"/>
        </w:rPr>
        <w:t>2</w:t>
      </w:r>
      <w:r w:rsidR="00D92FCA" w:rsidRPr="00D92FCA">
        <w:rPr>
          <w:rFonts w:ascii="Arial" w:eastAsia="Malgun Gothic" w:hAnsi="Arial"/>
          <w:sz w:val="32"/>
          <w:lang w:eastAsia="de-DE"/>
        </w:rPr>
        <w:t>.1</w:t>
      </w:r>
      <w:r w:rsidR="00D92FCA" w:rsidRPr="00D92FCA">
        <w:rPr>
          <w:rFonts w:ascii="Arial" w:eastAsia="Malgun Gothic" w:hAnsi="Arial"/>
          <w:sz w:val="32"/>
          <w:lang w:eastAsia="de-DE"/>
        </w:rPr>
        <w:tab/>
      </w:r>
      <w:bookmarkEnd w:id="3"/>
      <w:bookmarkEnd w:id="4"/>
      <w:bookmarkEnd w:id="5"/>
      <w:r w:rsidR="00D82421">
        <w:rPr>
          <w:rFonts w:ascii="Arial" w:eastAsia="Malgun Gothic" w:hAnsi="Arial"/>
          <w:sz w:val="32"/>
          <w:lang w:eastAsia="de-DE"/>
        </w:rPr>
        <w:t>Frequency prioritization</w:t>
      </w:r>
    </w:p>
    <w:p w14:paraId="3E23012A" w14:textId="4C70668A" w:rsidR="00ED18AC" w:rsidRDefault="00907F5B" w:rsidP="00D52605">
      <w:pPr>
        <w:rPr>
          <w:rFonts w:eastAsia="宋体"/>
        </w:rPr>
      </w:pPr>
      <w:r>
        <w:rPr>
          <w:rFonts w:eastAsia="Malgun Gothic"/>
          <w:lang w:eastAsia="de-DE"/>
        </w:rPr>
        <w:t>In</w:t>
      </w:r>
      <w:r w:rsidR="004E443A">
        <w:rPr>
          <w:rFonts w:eastAsia="Malgun Gothic"/>
          <w:lang w:eastAsia="de-DE"/>
        </w:rPr>
        <w:t xml:space="preserve"> the last meeting, RAN2 confirmed the WA</w:t>
      </w:r>
      <w:r w:rsidR="004E443A">
        <w:rPr>
          <w:rFonts w:eastAsia="宋体"/>
        </w:rPr>
        <w:t xml:space="preserve"> that the on-board UE can prioritize </w:t>
      </w:r>
      <w:r w:rsidR="004E443A" w:rsidRPr="00DD5D44">
        <w:rPr>
          <w:rFonts w:eastAsia="宋体"/>
        </w:rPr>
        <w:t xml:space="preserve">another frequency for which a mobile </w:t>
      </w:r>
      <w:r w:rsidR="006623E4" w:rsidRPr="00DD5D44">
        <w:rPr>
          <w:rFonts w:eastAsia="宋体"/>
        </w:rPr>
        <w:t>IAB</w:t>
      </w:r>
      <w:r w:rsidR="006623E4">
        <w:rPr>
          <w:rFonts w:eastAsia="宋体"/>
        </w:rPr>
        <w:t>-</w:t>
      </w:r>
      <w:r w:rsidR="004E443A" w:rsidRPr="00DD5D44">
        <w:rPr>
          <w:rFonts w:eastAsia="宋体"/>
        </w:rPr>
        <w:t xml:space="preserve">cell </w:t>
      </w:r>
      <w:r w:rsidR="004E443A" w:rsidRPr="00DD5D44">
        <w:rPr>
          <w:rFonts w:eastAsia="宋体"/>
          <w:u w:val="single"/>
        </w:rPr>
        <w:t>is the best cell</w:t>
      </w:r>
      <w:r w:rsidRPr="00907F5B">
        <w:rPr>
          <w:rFonts w:eastAsia="宋体"/>
        </w:rPr>
        <w:t>, and capture it in the running CR for TS 38.304</w:t>
      </w:r>
      <w:r w:rsidR="00C74303">
        <w:t xml:space="preserve"> </w:t>
      </w:r>
      <w:r w:rsidR="00C74303">
        <w:fldChar w:fldCharType="begin"/>
      </w:r>
      <w:r w:rsidR="00C74303">
        <w:instrText xml:space="preserve"> REF _Ref149743302 \r \h </w:instrText>
      </w:r>
      <w:r w:rsidR="00C74303">
        <w:fldChar w:fldCharType="separate"/>
      </w:r>
      <w:r w:rsidR="00C74303">
        <w:t>[2]</w:t>
      </w:r>
      <w:r w:rsidR="00C74303">
        <w:fldChar w:fldCharType="end"/>
      </w:r>
      <w:r w:rsidR="004E443A">
        <w:rPr>
          <w:rFonts w:eastAsia="宋体"/>
        </w:rPr>
        <w:t xml:space="preserve">. However, during the legacy cell reselection procedure, a UE should first determine the frequencies to be measured by considering the frequency priorities assigned by </w:t>
      </w:r>
      <w:r w:rsidR="00724C5F">
        <w:rPr>
          <w:rFonts w:eastAsia="宋体"/>
        </w:rPr>
        <w:t xml:space="preserve">the </w:t>
      </w:r>
      <w:r w:rsidR="004E443A">
        <w:rPr>
          <w:rFonts w:eastAsia="宋体"/>
        </w:rPr>
        <w:t xml:space="preserve">NW and then it will evaluate the best cell based on the measurement results. Hence, it is strange to require the UE to determine the “best cell” first before the frequencies prioritization. </w:t>
      </w:r>
    </w:p>
    <w:p w14:paraId="4801187B" w14:textId="72D58F56" w:rsidR="004E443A" w:rsidRDefault="00ED18AC" w:rsidP="00D52605">
      <w:pPr>
        <w:rPr>
          <w:rFonts w:eastAsia="宋体"/>
        </w:rPr>
      </w:pPr>
      <w:r>
        <w:rPr>
          <w:rFonts w:eastAsia="宋体"/>
        </w:rPr>
        <w:t xml:space="preserve">In </w:t>
      </w:r>
      <w:r w:rsidR="004E6F9A">
        <w:rPr>
          <w:rFonts w:eastAsia="宋体"/>
        </w:rPr>
        <w:t>addition</w:t>
      </w:r>
      <w:r w:rsidR="004E443A">
        <w:rPr>
          <w:rFonts w:eastAsia="宋体"/>
        </w:rPr>
        <w:t xml:space="preserve">, the motivation of cell reselection for mobile IAB is to help </w:t>
      </w:r>
      <w:r w:rsidR="004E6F9A">
        <w:rPr>
          <w:rFonts w:eastAsia="宋体"/>
        </w:rPr>
        <w:t>the</w:t>
      </w:r>
      <w:r w:rsidR="004E6F9A" w:rsidRPr="00ED18AC">
        <w:rPr>
          <w:rFonts w:eastAsia="宋体"/>
        </w:rPr>
        <w:t xml:space="preserve"> UE on a vehicle</w:t>
      </w:r>
      <w:r w:rsidR="004E443A">
        <w:rPr>
          <w:rFonts w:eastAsia="宋体"/>
        </w:rPr>
        <w:t xml:space="preserve"> </w:t>
      </w:r>
      <w:r w:rsidR="004E6F9A" w:rsidRPr="00ED18AC">
        <w:rPr>
          <w:rFonts w:eastAsia="宋体"/>
        </w:rPr>
        <w:t>with a mobile IAB-cell</w:t>
      </w:r>
      <w:r w:rsidR="004E6F9A">
        <w:rPr>
          <w:rFonts w:eastAsia="宋体"/>
        </w:rPr>
        <w:t xml:space="preserve"> </w:t>
      </w:r>
      <w:r w:rsidR="004E443A">
        <w:rPr>
          <w:rFonts w:eastAsia="宋体"/>
        </w:rPr>
        <w:t xml:space="preserve">to reselect to a mobile IAB-cell. If </w:t>
      </w:r>
      <w:r w:rsidR="00A32802">
        <w:rPr>
          <w:rFonts w:eastAsia="宋体"/>
        </w:rPr>
        <w:t xml:space="preserve">the UE only </w:t>
      </w:r>
      <w:r w:rsidR="004E443A">
        <w:rPr>
          <w:rFonts w:eastAsia="宋体"/>
        </w:rPr>
        <w:t>prioritize</w:t>
      </w:r>
      <w:r w:rsidR="00A32802">
        <w:rPr>
          <w:rFonts w:eastAsia="宋体"/>
        </w:rPr>
        <w:t>s</w:t>
      </w:r>
      <w:r w:rsidR="004E443A">
        <w:rPr>
          <w:rFonts w:eastAsia="宋体"/>
        </w:rPr>
        <w:t xml:space="preserve"> the frequency of the best cell which is a mobile IAB-cell, what’s the UE behaviour when the best cell is not a mobile IAB-cell? A reasonable way is that </w:t>
      </w:r>
      <w:r w:rsidR="004E6F9A">
        <w:rPr>
          <w:rFonts w:eastAsia="宋体"/>
        </w:rPr>
        <w:t>the</w:t>
      </w:r>
      <w:r w:rsidRPr="00ED18AC">
        <w:rPr>
          <w:rFonts w:eastAsia="宋体"/>
        </w:rPr>
        <w:t xml:space="preserve"> UE may consider the frequency providing mobile IAB</w:t>
      </w:r>
      <w:r w:rsidR="00087857">
        <w:rPr>
          <w:rFonts w:eastAsia="宋体"/>
        </w:rPr>
        <w:t>-</w:t>
      </w:r>
      <w:r w:rsidRPr="00ED18AC">
        <w:rPr>
          <w:rFonts w:eastAsia="宋体"/>
        </w:rPr>
        <w:t>cell to be the highest priority</w:t>
      </w:r>
      <w:r w:rsidR="00CF6EDE">
        <w:rPr>
          <w:rFonts w:eastAsia="宋体"/>
        </w:rPr>
        <w:t xml:space="preserve"> first</w:t>
      </w:r>
      <w:r w:rsidRPr="00ED18AC">
        <w:rPr>
          <w:rFonts w:eastAsia="宋体"/>
        </w:rPr>
        <w:t>, as indicated by MobileIAB-InterFreqCarrierFreqInfo-r18 in SIB4</w:t>
      </w:r>
      <w:r>
        <w:rPr>
          <w:rFonts w:eastAsia="宋体"/>
        </w:rPr>
        <w:t xml:space="preserve">. </w:t>
      </w:r>
      <w:r w:rsidR="00A57479">
        <w:rPr>
          <w:rFonts w:eastAsia="宋体"/>
        </w:rPr>
        <w:t>As a result</w:t>
      </w:r>
      <w:r>
        <w:rPr>
          <w:rFonts w:eastAsia="宋体"/>
        </w:rPr>
        <w:t xml:space="preserve">, </w:t>
      </w:r>
      <w:r w:rsidR="004E443A">
        <w:rPr>
          <w:rFonts w:eastAsia="宋体"/>
        </w:rPr>
        <w:t>th</w:t>
      </w:r>
      <w:r w:rsidR="00CF6EDE">
        <w:rPr>
          <w:rFonts w:eastAsia="宋体"/>
        </w:rPr>
        <w:t>is</w:t>
      </w:r>
      <w:r w:rsidR="004E443A">
        <w:rPr>
          <w:rFonts w:eastAsia="宋体"/>
        </w:rPr>
        <w:t xml:space="preserve"> UE </w:t>
      </w:r>
      <w:r w:rsidRPr="00ED18AC">
        <w:rPr>
          <w:rFonts w:eastAsia="宋体"/>
        </w:rPr>
        <w:t>can preferentially measure such frequency for detecting neighbour mobile IAB-cells.</w:t>
      </w:r>
      <w:r w:rsidR="004E443A">
        <w:rPr>
          <w:rFonts w:eastAsia="宋体"/>
        </w:rPr>
        <w:t xml:space="preserve"> </w:t>
      </w:r>
    </w:p>
    <w:p w14:paraId="4B2E3DCC" w14:textId="0A208152" w:rsidR="00AE22D0" w:rsidRPr="0054257E" w:rsidRDefault="006227DC" w:rsidP="00D52605">
      <w:pPr>
        <w:rPr>
          <w:rFonts w:eastAsia="Malgun Gothic"/>
          <w:b/>
          <w:lang w:eastAsia="de-DE"/>
        </w:rPr>
      </w:pPr>
      <w:r w:rsidRPr="006227DC">
        <w:rPr>
          <w:rFonts w:eastAsia="宋体"/>
          <w:b/>
        </w:rPr>
        <w:t>Observation 1: Prioritiz</w:t>
      </w:r>
      <w:r>
        <w:rPr>
          <w:rFonts w:eastAsia="宋体"/>
          <w:b/>
        </w:rPr>
        <w:t>ing</w:t>
      </w:r>
      <w:r w:rsidR="00F32BFE">
        <w:rPr>
          <w:rFonts w:eastAsia="宋体"/>
          <w:b/>
        </w:rPr>
        <w:t xml:space="preserve"> the</w:t>
      </w:r>
      <w:r w:rsidR="00AE22D0" w:rsidRPr="0054257E">
        <w:rPr>
          <w:rFonts w:eastAsia="宋体"/>
          <w:b/>
        </w:rPr>
        <w:t xml:space="preserve"> frequency of mobile IAB does not require that “mobile IAB</w:t>
      </w:r>
      <w:r w:rsidR="006623E4">
        <w:rPr>
          <w:rFonts w:eastAsia="宋体"/>
          <w:b/>
        </w:rPr>
        <w:t>-</w:t>
      </w:r>
      <w:r w:rsidR="00AE22D0" w:rsidRPr="0054257E">
        <w:rPr>
          <w:rFonts w:eastAsia="宋体"/>
          <w:b/>
        </w:rPr>
        <w:t>cell is the best cell”</w:t>
      </w:r>
      <w:r w:rsidR="00AE22D0">
        <w:rPr>
          <w:rFonts w:eastAsia="宋体"/>
          <w:b/>
        </w:rPr>
        <w:t>.</w:t>
      </w:r>
    </w:p>
    <w:p w14:paraId="6B589C91" w14:textId="1048B345" w:rsidR="004B2C25" w:rsidRPr="00473077" w:rsidRDefault="004B2C25" w:rsidP="004B2C25">
      <w:pPr>
        <w:rPr>
          <w:b/>
        </w:rPr>
      </w:pPr>
      <w:r>
        <w:rPr>
          <w:b/>
        </w:rPr>
        <w:t xml:space="preserve">Proposal 1: </w:t>
      </w:r>
      <w:r w:rsidRPr="004B2C25">
        <w:rPr>
          <w:b/>
        </w:rPr>
        <w:t>A UE on a vehicle with a mobile IAB-cell may consider the</w:t>
      </w:r>
      <w:r w:rsidR="00087857">
        <w:rPr>
          <w:b/>
        </w:rPr>
        <w:t xml:space="preserve"> frequency providing mobile IAB-</w:t>
      </w:r>
      <w:r w:rsidRPr="004B2C25">
        <w:rPr>
          <w:b/>
        </w:rPr>
        <w:t xml:space="preserve">cell to be the highest priority, as indicated by </w:t>
      </w:r>
      <w:r w:rsidRPr="0054257E">
        <w:rPr>
          <w:b/>
          <w:i/>
        </w:rPr>
        <w:t>MobileIAB-InterFreqCarrierFreqInfo-r18</w:t>
      </w:r>
      <w:r w:rsidR="002E2776">
        <w:rPr>
          <w:b/>
        </w:rPr>
        <w:t xml:space="preserve"> in SIB4</w:t>
      </w:r>
      <w:r w:rsidR="00F32BFE">
        <w:rPr>
          <w:b/>
        </w:rPr>
        <w:t xml:space="preserve"> (i.e. remove “</w:t>
      </w:r>
      <w:r w:rsidR="00F32BFE" w:rsidRPr="00F32BFE">
        <w:rPr>
          <w:b/>
        </w:rPr>
        <w:t>mobile IAB</w:t>
      </w:r>
      <w:r w:rsidR="006623E4">
        <w:rPr>
          <w:b/>
        </w:rPr>
        <w:t>-</w:t>
      </w:r>
      <w:r w:rsidR="00F32BFE" w:rsidRPr="00F32BFE">
        <w:rPr>
          <w:b/>
        </w:rPr>
        <w:t>cell is the best cell</w:t>
      </w:r>
      <w:r w:rsidR="00F32BFE">
        <w:rPr>
          <w:b/>
        </w:rPr>
        <w:t>” condition)</w:t>
      </w:r>
      <w:r w:rsidR="002E2776">
        <w:rPr>
          <w:rFonts w:asciiTheme="minorEastAsia" w:eastAsiaTheme="minorEastAsia" w:hAnsiTheme="minorEastAsia" w:hint="eastAsia"/>
          <w:b/>
          <w:lang w:eastAsia="zh-CN"/>
        </w:rPr>
        <w:t>.</w:t>
      </w:r>
    </w:p>
    <w:p w14:paraId="3B32770A" w14:textId="69AFE5FD" w:rsidR="007E4E8B" w:rsidRPr="00D92FCA" w:rsidRDefault="007E4E8B" w:rsidP="007E4E8B">
      <w:pPr>
        <w:keepNext/>
        <w:keepLines/>
        <w:spacing w:before="180"/>
        <w:ind w:left="1134" w:hanging="1134"/>
        <w:outlineLvl w:val="1"/>
        <w:rPr>
          <w:rFonts w:ascii="Arial" w:eastAsia="Malgun Gothic" w:hAnsi="Arial"/>
          <w:sz w:val="32"/>
          <w:lang w:eastAsia="de-DE"/>
        </w:rPr>
      </w:pPr>
      <w:r>
        <w:rPr>
          <w:rFonts w:ascii="Arial" w:eastAsia="Malgun Gothic" w:hAnsi="Arial"/>
          <w:sz w:val="32"/>
          <w:lang w:eastAsia="de-DE"/>
        </w:rPr>
        <w:lastRenderedPageBreak/>
        <w:t>2</w:t>
      </w:r>
      <w:r w:rsidRPr="00D92FCA">
        <w:rPr>
          <w:rFonts w:ascii="Arial" w:eastAsia="Malgun Gothic" w:hAnsi="Arial"/>
          <w:sz w:val="32"/>
          <w:lang w:eastAsia="de-DE"/>
        </w:rPr>
        <w:t>.</w:t>
      </w:r>
      <w:r>
        <w:rPr>
          <w:rFonts w:ascii="Arial" w:eastAsia="Malgun Gothic" w:hAnsi="Arial"/>
          <w:sz w:val="32"/>
          <w:lang w:eastAsia="de-DE"/>
        </w:rPr>
        <w:t>2</w:t>
      </w:r>
      <w:r w:rsidRPr="00D92FCA">
        <w:rPr>
          <w:rFonts w:ascii="Arial" w:eastAsia="Malgun Gothic" w:hAnsi="Arial"/>
          <w:sz w:val="32"/>
          <w:lang w:eastAsia="de-DE"/>
        </w:rPr>
        <w:tab/>
      </w:r>
      <w:r w:rsidR="00D82421">
        <w:rPr>
          <w:rFonts w:ascii="Arial" w:eastAsia="Malgun Gothic" w:hAnsi="Arial"/>
          <w:sz w:val="32"/>
          <w:lang w:eastAsia="de-DE"/>
        </w:rPr>
        <w:t>Cell list usage</w:t>
      </w:r>
    </w:p>
    <w:p w14:paraId="19748C43" w14:textId="637CEEE7" w:rsidR="007E4E8B" w:rsidRPr="00D92FCA" w:rsidRDefault="0046266E" w:rsidP="007E4E8B">
      <w:pPr>
        <w:rPr>
          <w:rFonts w:eastAsia="Malgun Gothic"/>
          <w:lang w:eastAsia="de-DE"/>
        </w:rPr>
      </w:pPr>
      <w:r>
        <w:rPr>
          <w:rFonts w:eastAsia="Malgun Gothic"/>
          <w:lang w:eastAsia="de-DE"/>
        </w:rPr>
        <w:t>T</w:t>
      </w:r>
      <w:r w:rsidR="00E812D2">
        <w:rPr>
          <w:rFonts w:eastAsia="Malgun Gothic"/>
          <w:lang w:eastAsia="de-DE"/>
        </w:rPr>
        <w:t>he mIAB PCI list is introduced as an additional assistance information based on the frequency providing the m</w:t>
      </w:r>
      <w:r w:rsidR="00BD6B36">
        <w:rPr>
          <w:rFonts w:eastAsia="Malgun Gothic"/>
          <w:lang w:eastAsia="de-DE"/>
        </w:rPr>
        <w:t>obile</w:t>
      </w:r>
      <w:r w:rsidR="00E812D2">
        <w:rPr>
          <w:rFonts w:eastAsia="Malgun Gothic"/>
          <w:lang w:eastAsia="de-DE"/>
        </w:rPr>
        <w:t xml:space="preserve"> IAB-cell</w:t>
      </w:r>
      <w:r w:rsidR="001E5F6A">
        <w:rPr>
          <w:rFonts w:eastAsia="Malgun Gothic"/>
          <w:lang w:eastAsia="de-DE"/>
        </w:rPr>
        <w:t xml:space="preserve">, to help the UE </w:t>
      </w:r>
      <w:r w:rsidR="00724C5F">
        <w:rPr>
          <w:rFonts w:eastAsia="Malgun Gothic"/>
          <w:lang w:eastAsia="de-DE"/>
        </w:rPr>
        <w:t xml:space="preserve">to </w:t>
      </w:r>
      <w:r w:rsidR="001E5F6A">
        <w:rPr>
          <w:rFonts w:eastAsia="Malgun Gothic"/>
          <w:lang w:eastAsia="de-DE"/>
        </w:rPr>
        <w:t>find the mobile IAB-cell</w:t>
      </w:r>
      <w:r w:rsidR="00087857">
        <w:rPr>
          <w:rFonts w:eastAsia="Malgun Gothic"/>
          <w:lang w:eastAsia="de-DE"/>
        </w:rPr>
        <w:t>s</w:t>
      </w:r>
      <w:r w:rsidR="001E5F6A">
        <w:rPr>
          <w:rFonts w:eastAsia="Malgun Gothic"/>
          <w:lang w:eastAsia="de-DE"/>
        </w:rPr>
        <w:t xml:space="preserve"> </w:t>
      </w:r>
      <w:r w:rsidR="00935717">
        <w:rPr>
          <w:rFonts w:eastAsia="Malgun Gothic"/>
          <w:lang w:eastAsia="de-DE"/>
        </w:rPr>
        <w:t>among</w:t>
      </w:r>
      <w:r w:rsidR="001E5F6A">
        <w:rPr>
          <w:rFonts w:eastAsia="Malgun Gothic"/>
          <w:lang w:eastAsia="de-DE"/>
        </w:rPr>
        <w:t xml:space="preserve"> multiple cells </w:t>
      </w:r>
      <w:r w:rsidR="00082F5A">
        <w:rPr>
          <w:rFonts w:eastAsia="Malgun Gothic"/>
          <w:lang w:eastAsia="de-DE"/>
        </w:rPr>
        <w:t xml:space="preserve">on the indicated frequency </w:t>
      </w:r>
      <w:r w:rsidR="001E5F6A">
        <w:rPr>
          <w:rFonts w:eastAsia="Malgun Gothic"/>
          <w:lang w:eastAsia="de-DE"/>
        </w:rPr>
        <w:t>more effectively</w:t>
      </w:r>
      <w:r w:rsidR="00E812D2">
        <w:rPr>
          <w:rFonts w:eastAsia="Malgun Gothic"/>
          <w:lang w:eastAsia="de-DE"/>
        </w:rPr>
        <w:t>.</w:t>
      </w:r>
      <w:r w:rsidR="00C361EB">
        <w:rPr>
          <w:rFonts w:eastAsia="Malgun Gothic"/>
          <w:lang w:eastAsia="de-DE"/>
        </w:rPr>
        <w:t xml:space="preserve"> </w:t>
      </w:r>
      <w:r>
        <w:rPr>
          <w:rFonts w:eastAsia="Malgun Gothic"/>
          <w:lang w:eastAsia="de-DE"/>
        </w:rPr>
        <w:t>From RAN2 perspective</w:t>
      </w:r>
      <w:r w:rsidR="00F91A62">
        <w:rPr>
          <w:rFonts w:eastAsia="Malgun Gothic"/>
          <w:lang w:eastAsia="de-DE"/>
        </w:rPr>
        <w:t xml:space="preserve">, </w:t>
      </w:r>
      <w:r w:rsidR="00B22629">
        <w:rPr>
          <w:rFonts w:eastAsia="Malgun Gothic"/>
          <w:lang w:eastAsia="de-DE"/>
        </w:rPr>
        <w:t xml:space="preserve">the mIAB PCI list should not </w:t>
      </w:r>
      <w:r w:rsidR="00F91A62">
        <w:rPr>
          <w:rFonts w:eastAsia="Malgun Gothic"/>
          <w:lang w:eastAsia="de-DE"/>
        </w:rPr>
        <w:t xml:space="preserve">include </w:t>
      </w:r>
      <w:r w:rsidR="007A5012" w:rsidRPr="007A5012">
        <w:rPr>
          <w:rFonts w:eastAsia="Malgun Gothic"/>
          <w:lang w:eastAsia="de-DE"/>
        </w:rPr>
        <w:t xml:space="preserve">PCIs </w:t>
      </w:r>
      <w:r w:rsidR="007A5012">
        <w:rPr>
          <w:rFonts w:eastAsia="Malgun Gothic"/>
          <w:lang w:eastAsia="de-DE"/>
        </w:rPr>
        <w:t>of</w:t>
      </w:r>
      <w:r w:rsidR="00F91A62">
        <w:rPr>
          <w:rFonts w:eastAsia="Malgun Gothic"/>
          <w:lang w:eastAsia="de-DE"/>
        </w:rPr>
        <w:t xml:space="preserve"> non-</w:t>
      </w:r>
      <w:r w:rsidR="00B22629">
        <w:rPr>
          <w:rFonts w:eastAsia="Malgun Gothic"/>
          <w:lang w:eastAsia="de-DE"/>
        </w:rPr>
        <w:t>mIAB cell</w:t>
      </w:r>
      <w:r w:rsidR="007A5012">
        <w:rPr>
          <w:rFonts w:eastAsia="Malgun Gothic"/>
          <w:lang w:eastAsia="de-DE"/>
        </w:rPr>
        <w:t>s</w:t>
      </w:r>
      <w:r w:rsidR="00B22629">
        <w:rPr>
          <w:rFonts w:eastAsia="Malgun Gothic"/>
          <w:lang w:eastAsia="de-DE"/>
        </w:rPr>
        <w:t xml:space="preserve">, </w:t>
      </w:r>
      <w:r w:rsidR="004C7551">
        <w:rPr>
          <w:rFonts w:eastAsia="Malgun Gothic"/>
          <w:lang w:eastAsia="de-DE"/>
        </w:rPr>
        <w:t xml:space="preserve">since it is </w:t>
      </w:r>
      <w:r w:rsidR="00C47E2D">
        <w:rPr>
          <w:rFonts w:eastAsia="Malgun Gothic"/>
          <w:lang w:eastAsia="de-DE"/>
        </w:rPr>
        <w:t xml:space="preserve">useless, or even </w:t>
      </w:r>
      <w:r w:rsidR="00186046">
        <w:rPr>
          <w:rFonts w:eastAsia="Malgun Gothic"/>
          <w:lang w:eastAsia="de-DE"/>
        </w:rPr>
        <w:t>unfavourable for the cell reselection enhancement</w:t>
      </w:r>
      <w:r w:rsidR="00F91A62">
        <w:rPr>
          <w:rFonts w:eastAsia="Malgun Gothic"/>
          <w:lang w:eastAsia="de-DE"/>
        </w:rPr>
        <w:t>.</w:t>
      </w:r>
      <w:r w:rsidR="00C361EB">
        <w:rPr>
          <w:rFonts w:eastAsia="宋体"/>
        </w:rPr>
        <w:t xml:space="preserve"> </w:t>
      </w:r>
    </w:p>
    <w:p w14:paraId="6276FCEB" w14:textId="48C897E9" w:rsidR="00B61617" w:rsidRDefault="00B61617" w:rsidP="00B61617">
      <w:pPr>
        <w:rPr>
          <w:b/>
        </w:rPr>
      </w:pPr>
      <w:r w:rsidRPr="00485677">
        <w:rPr>
          <w:b/>
        </w:rPr>
        <w:t xml:space="preserve">Observation </w:t>
      </w:r>
      <w:r w:rsidR="00564438">
        <w:rPr>
          <w:b/>
        </w:rPr>
        <w:t>2</w:t>
      </w:r>
      <w:r w:rsidRPr="00485677">
        <w:rPr>
          <w:b/>
        </w:rPr>
        <w:t xml:space="preserve">: </w:t>
      </w:r>
      <w:r>
        <w:rPr>
          <w:b/>
        </w:rPr>
        <w:t>T</w:t>
      </w:r>
      <w:r w:rsidRPr="00B61617">
        <w:rPr>
          <w:b/>
        </w:rPr>
        <w:t xml:space="preserve">he </w:t>
      </w:r>
      <w:r>
        <w:rPr>
          <w:b/>
        </w:rPr>
        <w:t xml:space="preserve">mIAB </w:t>
      </w:r>
      <w:r w:rsidRPr="00B61617">
        <w:rPr>
          <w:b/>
        </w:rPr>
        <w:t xml:space="preserve">PCI list should </w:t>
      </w:r>
      <w:r w:rsidR="00426B09">
        <w:rPr>
          <w:b/>
        </w:rPr>
        <w:t xml:space="preserve">not </w:t>
      </w:r>
      <w:r w:rsidRPr="00B61617">
        <w:rPr>
          <w:b/>
        </w:rPr>
        <w:t xml:space="preserve">include </w:t>
      </w:r>
      <w:r w:rsidR="002E2776">
        <w:rPr>
          <w:b/>
        </w:rPr>
        <w:t xml:space="preserve">the </w:t>
      </w:r>
      <w:r w:rsidRPr="00B61617">
        <w:rPr>
          <w:b/>
        </w:rPr>
        <w:t>PCIs of non-mIAB cell</w:t>
      </w:r>
      <w:r w:rsidR="007A5012">
        <w:rPr>
          <w:b/>
        </w:rPr>
        <w:t>s</w:t>
      </w:r>
      <w:r w:rsidRPr="00B61617">
        <w:rPr>
          <w:b/>
        </w:rPr>
        <w:t>.</w:t>
      </w:r>
    </w:p>
    <w:p w14:paraId="3F014920" w14:textId="4520C9B4" w:rsidR="00E812D2" w:rsidRPr="00E812D2" w:rsidRDefault="004C7551" w:rsidP="00B61617">
      <w:pPr>
        <w:rPr>
          <w:rFonts w:eastAsia="Malgun Gothic"/>
          <w:lang w:eastAsia="de-DE"/>
        </w:rPr>
      </w:pPr>
      <w:r>
        <w:rPr>
          <w:rFonts w:eastAsia="Malgun Gothic"/>
          <w:lang w:eastAsia="de-DE"/>
        </w:rPr>
        <w:t xml:space="preserve">As for the </w:t>
      </w:r>
      <w:r w:rsidR="00E73A80">
        <w:rPr>
          <w:rFonts w:eastAsia="Malgun Gothic"/>
          <w:lang w:eastAsia="de-DE"/>
        </w:rPr>
        <w:t xml:space="preserve">completeness of </w:t>
      </w:r>
      <w:r w:rsidR="0068141A">
        <w:rPr>
          <w:rFonts w:eastAsia="Malgun Gothic"/>
          <w:lang w:eastAsia="de-DE"/>
        </w:rPr>
        <w:t xml:space="preserve">the </w:t>
      </w:r>
      <w:r w:rsidR="00E73A80">
        <w:rPr>
          <w:rFonts w:eastAsia="Malgun Gothic"/>
          <w:lang w:eastAsia="de-DE"/>
        </w:rPr>
        <w:t>mIAB</w:t>
      </w:r>
      <w:r w:rsidR="0068141A">
        <w:rPr>
          <w:rFonts w:eastAsia="Malgun Gothic"/>
          <w:lang w:eastAsia="de-DE"/>
        </w:rPr>
        <w:t xml:space="preserve"> PCI list,</w:t>
      </w:r>
      <w:r w:rsidR="00E73A80">
        <w:rPr>
          <w:rFonts w:eastAsia="Malgun Gothic"/>
          <w:lang w:eastAsia="de-DE"/>
        </w:rPr>
        <w:t xml:space="preserve"> </w:t>
      </w:r>
      <w:r w:rsidR="00EE6001">
        <w:rPr>
          <w:rFonts w:eastAsia="Malgun Gothic"/>
          <w:lang w:eastAsia="de-DE"/>
        </w:rPr>
        <w:t xml:space="preserve">the frequent interaction between the NG-RAN nodes is inevitable. In fact, it </w:t>
      </w:r>
      <w:r w:rsidR="00714D6A">
        <w:rPr>
          <w:rFonts w:eastAsia="Malgun Gothic"/>
          <w:lang w:eastAsia="de-DE"/>
        </w:rPr>
        <w:t xml:space="preserve">is </w:t>
      </w:r>
      <w:r w:rsidR="00EE6001">
        <w:rPr>
          <w:rFonts w:eastAsia="Malgun Gothic"/>
          <w:lang w:eastAsia="de-DE"/>
        </w:rPr>
        <w:t xml:space="preserve">not </w:t>
      </w:r>
      <w:r w:rsidR="008077D9">
        <w:rPr>
          <w:rFonts w:eastAsia="Malgun Gothic"/>
          <w:lang w:eastAsia="de-DE"/>
        </w:rPr>
        <w:t>easy</w:t>
      </w:r>
      <w:r w:rsidR="00C32296">
        <w:rPr>
          <w:rFonts w:eastAsia="Malgun Gothic"/>
          <w:lang w:eastAsia="de-DE"/>
        </w:rPr>
        <w:t xml:space="preserve"> for the NW to </w:t>
      </w:r>
      <w:r w:rsidR="00670912">
        <w:rPr>
          <w:rFonts w:eastAsia="Malgun Gothic"/>
          <w:lang w:eastAsia="de-DE"/>
        </w:rPr>
        <w:t>contain</w:t>
      </w:r>
      <w:r w:rsidR="0068141A">
        <w:rPr>
          <w:rFonts w:eastAsia="Malgun Gothic"/>
          <w:lang w:eastAsia="de-DE"/>
        </w:rPr>
        <w:t xml:space="preserve"> all possible mobile IAB-cells</w:t>
      </w:r>
      <w:r w:rsidR="00670912">
        <w:rPr>
          <w:rFonts w:eastAsia="Malgun Gothic"/>
          <w:lang w:eastAsia="de-DE"/>
        </w:rPr>
        <w:t xml:space="preserve"> in the mIAB PCI list</w:t>
      </w:r>
      <w:r w:rsidR="0068141A">
        <w:rPr>
          <w:rFonts w:eastAsia="Malgun Gothic"/>
          <w:lang w:eastAsia="de-DE"/>
        </w:rPr>
        <w:t xml:space="preserve"> </w:t>
      </w:r>
      <w:r w:rsidR="004B6B23">
        <w:rPr>
          <w:rFonts w:eastAsia="Malgun Gothic"/>
          <w:lang w:eastAsia="de-DE"/>
        </w:rPr>
        <w:t>timely</w:t>
      </w:r>
      <w:r w:rsidR="007E229A">
        <w:rPr>
          <w:rFonts w:eastAsia="Malgun Gothic"/>
          <w:lang w:eastAsia="de-DE"/>
        </w:rPr>
        <w:t xml:space="preserve"> </w:t>
      </w:r>
      <w:r w:rsidR="00C32296">
        <w:rPr>
          <w:rFonts w:eastAsia="Malgun Gothic"/>
          <w:lang w:eastAsia="de-DE"/>
        </w:rPr>
        <w:t>due to the mobility of the mobile IAB-node.</w:t>
      </w:r>
      <w:r w:rsidR="004B6B23">
        <w:rPr>
          <w:rFonts w:eastAsia="Malgun Gothic"/>
          <w:lang w:eastAsia="de-DE"/>
        </w:rPr>
        <w:t xml:space="preserve"> </w:t>
      </w:r>
      <w:r w:rsidR="00837732">
        <w:rPr>
          <w:rFonts w:eastAsia="Malgun Gothic"/>
          <w:lang w:eastAsia="de-DE"/>
        </w:rPr>
        <w:t xml:space="preserve">Please note that, the mIAB PCI list is present optionally for further optimization. </w:t>
      </w:r>
      <w:r w:rsidR="00E73A80">
        <w:rPr>
          <w:rFonts w:eastAsia="Malgun Gothic"/>
          <w:lang w:eastAsia="de-DE"/>
        </w:rPr>
        <w:t>Hence, there is no need to mandate the NW to ensure the mIAB PCI list is complete.</w:t>
      </w:r>
      <w:r w:rsidR="00EE3FF8">
        <w:rPr>
          <w:rFonts w:eastAsia="Malgun Gothic"/>
          <w:lang w:eastAsia="de-DE"/>
        </w:rPr>
        <w:t xml:space="preserve"> </w:t>
      </w:r>
      <w:r w:rsidR="008832A7">
        <w:rPr>
          <w:rFonts w:eastAsia="Malgun Gothic"/>
          <w:lang w:eastAsia="de-DE"/>
        </w:rPr>
        <w:t>RAN2 can only capture t</w:t>
      </w:r>
      <w:r w:rsidR="00EE3FF8">
        <w:rPr>
          <w:rFonts w:eastAsia="Malgun Gothic"/>
          <w:lang w:eastAsia="de-DE"/>
        </w:rPr>
        <w:t>he mIAB PCI list</w:t>
      </w:r>
      <w:r w:rsidR="008832A7">
        <w:rPr>
          <w:rFonts w:eastAsia="Malgun Gothic"/>
          <w:lang w:eastAsia="de-DE"/>
        </w:rPr>
        <w:t xml:space="preserve"> in the</w:t>
      </w:r>
      <w:r w:rsidR="0099221A">
        <w:rPr>
          <w:rFonts w:eastAsia="Malgun Gothic"/>
          <w:lang w:eastAsia="de-DE"/>
        </w:rPr>
        <w:t xml:space="preserve"> </w:t>
      </w:r>
      <w:r w:rsidR="007D495C">
        <w:rPr>
          <w:rFonts w:eastAsia="Malgun Gothic"/>
          <w:lang w:eastAsia="de-DE"/>
        </w:rPr>
        <w:t xml:space="preserve">TS 38.331 </w:t>
      </w:r>
      <w:r w:rsidR="006623E4" w:rsidRPr="006623E4">
        <w:rPr>
          <w:rFonts w:eastAsia="Malgun Gothic"/>
          <w:lang w:eastAsia="de-DE"/>
        </w:rPr>
        <w:t xml:space="preserve">in its </w:t>
      </w:r>
      <w:r w:rsidR="008832A7">
        <w:rPr>
          <w:rFonts w:eastAsia="Malgun Gothic"/>
          <w:lang w:eastAsia="de-DE"/>
        </w:rPr>
        <w:t>fi</w:t>
      </w:r>
      <w:r w:rsidR="007D495C">
        <w:rPr>
          <w:rFonts w:eastAsia="Malgun Gothic"/>
          <w:lang w:eastAsia="de-DE"/>
        </w:rPr>
        <w:t>eld description</w:t>
      </w:r>
      <w:r w:rsidR="003223EF">
        <w:rPr>
          <w:rFonts w:eastAsia="Malgun Gothic"/>
          <w:lang w:eastAsia="de-DE"/>
        </w:rPr>
        <w:t xml:space="preserve">: </w:t>
      </w:r>
      <w:r w:rsidR="003223EF" w:rsidRPr="003223EF">
        <w:t>“</w:t>
      </w:r>
      <w:r w:rsidR="003223EF" w:rsidRPr="003223EF">
        <w:rPr>
          <w:rFonts w:eastAsia="Malgun Gothic"/>
          <w:lang w:eastAsia="de-DE"/>
        </w:rPr>
        <w:t>This</w:t>
      </w:r>
      <w:r w:rsidR="00087857">
        <w:rPr>
          <w:rFonts w:eastAsia="Malgun Gothic"/>
          <w:lang w:eastAsia="de-DE"/>
        </w:rPr>
        <w:t xml:space="preserve"> field indicates the mobile IAB-</w:t>
      </w:r>
      <w:r w:rsidR="003223EF" w:rsidRPr="003223EF">
        <w:rPr>
          <w:rFonts w:eastAsia="Malgun Gothic"/>
          <w:lang w:eastAsia="de-DE"/>
        </w:rPr>
        <w:t>cell list in that frequency. ”</w:t>
      </w:r>
      <w:r w:rsidR="0099221A">
        <w:rPr>
          <w:rFonts w:eastAsia="Malgun Gothic"/>
          <w:lang w:eastAsia="de-DE"/>
        </w:rPr>
        <w:t xml:space="preserve"> and</w:t>
      </w:r>
      <w:r w:rsidR="00201A60">
        <w:rPr>
          <w:rFonts w:eastAsia="Malgun Gothic"/>
          <w:lang w:eastAsia="de-DE"/>
        </w:rPr>
        <w:t xml:space="preserve"> it has</w:t>
      </w:r>
      <w:r w:rsidR="00EE3FF8">
        <w:rPr>
          <w:rFonts w:eastAsia="Malgun Gothic"/>
          <w:lang w:eastAsia="de-DE"/>
        </w:rPr>
        <w:t xml:space="preserve"> no impacts on TS 38.304.</w:t>
      </w:r>
    </w:p>
    <w:p w14:paraId="3F2D917F" w14:textId="43C1C6D5" w:rsidR="00CD2BB9" w:rsidRDefault="00426B09" w:rsidP="00426B09">
      <w:pPr>
        <w:rPr>
          <w:b/>
        </w:rPr>
      </w:pPr>
      <w:r>
        <w:rPr>
          <w:b/>
        </w:rPr>
        <w:t xml:space="preserve">Observation </w:t>
      </w:r>
      <w:r w:rsidR="00564438">
        <w:rPr>
          <w:b/>
        </w:rPr>
        <w:t>3</w:t>
      </w:r>
      <w:r>
        <w:rPr>
          <w:b/>
        </w:rPr>
        <w:t xml:space="preserve">: </w:t>
      </w:r>
      <w:r w:rsidRPr="00426B09">
        <w:rPr>
          <w:b/>
        </w:rPr>
        <w:t xml:space="preserve">No need to </w:t>
      </w:r>
      <w:r w:rsidR="00564438">
        <w:rPr>
          <w:b/>
        </w:rPr>
        <w:t>specify that</w:t>
      </w:r>
      <w:r w:rsidRPr="00426B09">
        <w:rPr>
          <w:b/>
        </w:rPr>
        <w:t xml:space="preserve"> the NW </w:t>
      </w:r>
      <w:r w:rsidR="00564438">
        <w:rPr>
          <w:b/>
        </w:rPr>
        <w:t xml:space="preserve">has </w:t>
      </w:r>
      <w:r w:rsidRPr="00426B09">
        <w:rPr>
          <w:b/>
        </w:rPr>
        <w:t>to ensure the mIAB PCI list is complete</w:t>
      </w:r>
      <w:r w:rsidR="00564438">
        <w:rPr>
          <w:b/>
        </w:rPr>
        <w:t>, which could be NW implementation</w:t>
      </w:r>
      <w:r w:rsidRPr="00426B09">
        <w:rPr>
          <w:b/>
        </w:rPr>
        <w:t>.</w:t>
      </w:r>
    </w:p>
    <w:p w14:paraId="147B3955" w14:textId="14E5471D" w:rsidR="00426B09" w:rsidRPr="00373CD5" w:rsidRDefault="00426B09" w:rsidP="00373CD5">
      <w:pPr>
        <w:rPr>
          <w:b/>
        </w:rPr>
      </w:pPr>
      <w:r>
        <w:rPr>
          <w:b/>
        </w:rPr>
        <w:t>Proposal 2</w:t>
      </w:r>
      <w:r w:rsidRPr="00324C9D">
        <w:rPr>
          <w:b/>
        </w:rPr>
        <w:t xml:space="preserve">: </w:t>
      </w:r>
      <w:r w:rsidR="0099221A">
        <w:rPr>
          <w:b/>
        </w:rPr>
        <w:t>For the</w:t>
      </w:r>
      <w:r w:rsidR="00564438">
        <w:rPr>
          <w:b/>
        </w:rPr>
        <w:t xml:space="preserve"> mobile-IAB</w:t>
      </w:r>
      <w:r w:rsidR="0099221A">
        <w:rPr>
          <w:b/>
        </w:rPr>
        <w:t xml:space="preserve"> cell list</w:t>
      </w:r>
      <w:r w:rsidR="00AA18C5">
        <w:rPr>
          <w:b/>
        </w:rPr>
        <w:t xml:space="preserve"> in SIB4</w:t>
      </w:r>
      <w:r w:rsidRPr="00426B09">
        <w:rPr>
          <w:b/>
        </w:rPr>
        <w:t xml:space="preserve">, </w:t>
      </w:r>
      <w:r w:rsidR="00BF15B3">
        <w:rPr>
          <w:b/>
        </w:rPr>
        <w:t xml:space="preserve">there could be </w:t>
      </w:r>
      <w:r w:rsidR="00B84FAE" w:rsidRPr="00B84FAE">
        <w:rPr>
          <w:b/>
        </w:rPr>
        <w:t>no</w:t>
      </w:r>
      <w:r w:rsidR="00BF15B3">
        <w:rPr>
          <w:b/>
        </w:rPr>
        <w:t xml:space="preserve"> spec</w:t>
      </w:r>
      <w:r w:rsidR="00B84FAE" w:rsidRPr="00B84FAE">
        <w:rPr>
          <w:b/>
        </w:rPr>
        <w:t xml:space="preserve"> impact</w:t>
      </w:r>
      <w:r w:rsidR="001473D6">
        <w:rPr>
          <w:b/>
        </w:rPr>
        <w:t xml:space="preserve"> in</w:t>
      </w:r>
      <w:r w:rsidR="00B84FAE" w:rsidRPr="00B84FAE">
        <w:rPr>
          <w:b/>
        </w:rPr>
        <w:t xml:space="preserve"> TS 38.304</w:t>
      </w:r>
      <w:r w:rsidR="00B84FAE">
        <w:rPr>
          <w:b/>
        </w:rPr>
        <w:t xml:space="preserve">. </w:t>
      </w:r>
      <w:r w:rsidR="00373CD5">
        <w:rPr>
          <w:b/>
        </w:rPr>
        <w:t xml:space="preserve">RAN2 can </w:t>
      </w:r>
      <w:r w:rsidR="00AE3AF0">
        <w:rPr>
          <w:b/>
        </w:rPr>
        <w:t xml:space="preserve">just </w:t>
      </w:r>
      <w:r w:rsidRPr="00426B09">
        <w:rPr>
          <w:b/>
        </w:rPr>
        <w:t xml:space="preserve">capture it in </w:t>
      </w:r>
      <w:r w:rsidR="00373CD5" w:rsidRPr="00373CD5">
        <w:rPr>
          <w:b/>
        </w:rPr>
        <w:t xml:space="preserve">the </w:t>
      </w:r>
      <w:r w:rsidR="00D1169C" w:rsidRPr="00373CD5">
        <w:rPr>
          <w:b/>
        </w:rPr>
        <w:t>TS 38.331</w:t>
      </w:r>
      <w:r w:rsidR="00D1169C">
        <w:rPr>
          <w:b/>
        </w:rPr>
        <w:t xml:space="preserve"> </w:t>
      </w:r>
      <w:r w:rsidR="00BF15B3">
        <w:rPr>
          <w:b/>
        </w:rPr>
        <w:t xml:space="preserve">in its </w:t>
      </w:r>
      <w:r w:rsidR="007F330E">
        <w:rPr>
          <w:b/>
        </w:rPr>
        <w:t>field description</w:t>
      </w:r>
      <w:r w:rsidRPr="00426B09">
        <w:rPr>
          <w:b/>
        </w:rPr>
        <w:t>: “This</w:t>
      </w:r>
      <w:r w:rsidR="00087857">
        <w:rPr>
          <w:b/>
        </w:rPr>
        <w:t xml:space="preserve"> field indicates the </w:t>
      </w:r>
      <w:r w:rsidR="00E261BD">
        <w:rPr>
          <w:b/>
        </w:rPr>
        <w:t>mobile-</w:t>
      </w:r>
      <w:r w:rsidR="00087857">
        <w:rPr>
          <w:b/>
        </w:rPr>
        <w:t>IAB</w:t>
      </w:r>
      <w:r w:rsidR="00E261BD">
        <w:rPr>
          <w:b/>
        </w:rPr>
        <w:t xml:space="preserve"> </w:t>
      </w:r>
      <w:r w:rsidRPr="00426B09">
        <w:rPr>
          <w:b/>
        </w:rPr>
        <w:t>cell list in that frequency.</w:t>
      </w:r>
      <w:r w:rsidR="00373CD5" w:rsidRPr="00373CD5">
        <w:t xml:space="preserve"> </w:t>
      </w:r>
      <w:r w:rsidR="00373CD5" w:rsidRPr="00373CD5">
        <w:rPr>
          <w:b/>
        </w:rPr>
        <w:t xml:space="preserve">” </w:t>
      </w:r>
    </w:p>
    <w:p w14:paraId="088961FA" w14:textId="284A82FC" w:rsidR="003C7F86" w:rsidRPr="00B139C2" w:rsidRDefault="00B139C2" w:rsidP="00B139C2">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p>
    <w:p w14:paraId="09223AC5" w14:textId="77777777" w:rsidR="00405D72" w:rsidRDefault="00405D72" w:rsidP="00405D72">
      <w:r w:rsidRPr="00E30475">
        <w:t>This contribution makes the following proposals:</w:t>
      </w:r>
    </w:p>
    <w:p w14:paraId="11340A14" w14:textId="77777777" w:rsidR="00075FE5" w:rsidRPr="0054257E" w:rsidRDefault="00075FE5" w:rsidP="00075FE5">
      <w:pPr>
        <w:rPr>
          <w:rFonts w:eastAsia="Malgun Gothic"/>
          <w:b/>
          <w:lang w:eastAsia="de-DE"/>
        </w:rPr>
      </w:pPr>
      <w:r w:rsidRPr="006227DC">
        <w:rPr>
          <w:rFonts w:eastAsia="宋体"/>
          <w:b/>
        </w:rPr>
        <w:t>Observation 1: Prioritiz</w:t>
      </w:r>
      <w:r>
        <w:rPr>
          <w:rFonts w:eastAsia="宋体"/>
          <w:b/>
        </w:rPr>
        <w:t>ing the</w:t>
      </w:r>
      <w:r w:rsidRPr="0054257E">
        <w:rPr>
          <w:rFonts w:eastAsia="宋体"/>
          <w:b/>
        </w:rPr>
        <w:t xml:space="preserve"> frequency of mobile IAB does not require that “mobile IAB</w:t>
      </w:r>
      <w:r>
        <w:rPr>
          <w:rFonts w:eastAsia="宋体"/>
          <w:b/>
        </w:rPr>
        <w:t>-</w:t>
      </w:r>
      <w:r w:rsidRPr="0054257E">
        <w:rPr>
          <w:rFonts w:eastAsia="宋体"/>
          <w:b/>
        </w:rPr>
        <w:t>cell is the best cell”</w:t>
      </w:r>
      <w:r>
        <w:rPr>
          <w:rFonts w:eastAsia="宋体"/>
          <w:b/>
        </w:rPr>
        <w:t>.</w:t>
      </w:r>
    </w:p>
    <w:p w14:paraId="14736022" w14:textId="77777777" w:rsidR="00075FE5" w:rsidRDefault="00075FE5" w:rsidP="00075FE5">
      <w:pPr>
        <w:rPr>
          <w:b/>
        </w:rPr>
      </w:pPr>
      <w:r w:rsidRPr="00485677">
        <w:rPr>
          <w:b/>
        </w:rPr>
        <w:t xml:space="preserve">Observation </w:t>
      </w:r>
      <w:r>
        <w:rPr>
          <w:b/>
        </w:rPr>
        <w:t>2</w:t>
      </w:r>
      <w:r w:rsidRPr="00485677">
        <w:rPr>
          <w:b/>
        </w:rPr>
        <w:t xml:space="preserve">: </w:t>
      </w:r>
      <w:r>
        <w:rPr>
          <w:b/>
        </w:rPr>
        <w:t>T</w:t>
      </w:r>
      <w:r w:rsidRPr="00B61617">
        <w:rPr>
          <w:b/>
        </w:rPr>
        <w:t xml:space="preserve">he </w:t>
      </w:r>
      <w:r>
        <w:rPr>
          <w:b/>
        </w:rPr>
        <w:t xml:space="preserve">mIAB </w:t>
      </w:r>
      <w:r w:rsidRPr="00B61617">
        <w:rPr>
          <w:b/>
        </w:rPr>
        <w:t xml:space="preserve">PCI list should </w:t>
      </w:r>
      <w:r>
        <w:rPr>
          <w:b/>
        </w:rPr>
        <w:t xml:space="preserve">not </w:t>
      </w:r>
      <w:r w:rsidRPr="00B61617">
        <w:rPr>
          <w:b/>
        </w:rPr>
        <w:t xml:space="preserve">include </w:t>
      </w:r>
      <w:r>
        <w:rPr>
          <w:b/>
        </w:rPr>
        <w:t xml:space="preserve">the </w:t>
      </w:r>
      <w:r w:rsidRPr="00B61617">
        <w:rPr>
          <w:b/>
        </w:rPr>
        <w:t>PCIs of non-mIAB cell</w:t>
      </w:r>
      <w:r>
        <w:rPr>
          <w:b/>
        </w:rPr>
        <w:t>s</w:t>
      </w:r>
      <w:r w:rsidRPr="00B61617">
        <w:rPr>
          <w:b/>
        </w:rPr>
        <w:t>.</w:t>
      </w:r>
    </w:p>
    <w:p w14:paraId="293BBB0A" w14:textId="77777777" w:rsidR="00075FE5" w:rsidRDefault="00075FE5" w:rsidP="00075FE5">
      <w:pPr>
        <w:rPr>
          <w:b/>
        </w:rPr>
      </w:pPr>
      <w:r>
        <w:rPr>
          <w:b/>
        </w:rPr>
        <w:t xml:space="preserve">Observation 3: </w:t>
      </w:r>
      <w:r w:rsidRPr="00426B09">
        <w:rPr>
          <w:b/>
        </w:rPr>
        <w:t xml:space="preserve">No need to </w:t>
      </w:r>
      <w:r>
        <w:rPr>
          <w:b/>
        </w:rPr>
        <w:t>specify that</w:t>
      </w:r>
      <w:r w:rsidRPr="00426B09">
        <w:rPr>
          <w:b/>
        </w:rPr>
        <w:t xml:space="preserve"> the NW </w:t>
      </w:r>
      <w:r>
        <w:rPr>
          <w:b/>
        </w:rPr>
        <w:t xml:space="preserve">has </w:t>
      </w:r>
      <w:r w:rsidRPr="00426B09">
        <w:rPr>
          <w:b/>
        </w:rPr>
        <w:t>to ensure the mIAB PCI list is complete</w:t>
      </w:r>
      <w:r>
        <w:rPr>
          <w:b/>
        </w:rPr>
        <w:t>, which could be NW implementation</w:t>
      </w:r>
      <w:r w:rsidRPr="00426B09">
        <w:rPr>
          <w:b/>
        </w:rPr>
        <w:t>.</w:t>
      </w:r>
    </w:p>
    <w:p w14:paraId="24B14BA0" w14:textId="180AF4FE" w:rsidR="00405D72" w:rsidRPr="00405D72" w:rsidRDefault="00D82421" w:rsidP="00405D72">
      <w:pPr>
        <w:rPr>
          <w:i/>
          <w:color w:val="FF0000"/>
          <w:u w:val="single"/>
        </w:rPr>
      </w:pPr>
      <w:r>
        <w:rPr>
          <w:i/>
          <w:color w:val="FF0000"/>
          <w:u w:val="single"/>
        </w:rPr>
        <w:t>Frequency Prioritization</w:t>
      </w:r>
    </w:p>
    <w:p w14:paraId="2A7C9693" w14:textId="77777777" w:rsidR="00C04F27" w:rsidRPr="00473077" w:rsidRDefault="00C04F27" w:rsidP="00C04F27">
      <w:pPr>
        <w:rPr>
          <w:b/>
        </w:rPr>
      </w:pPr>
      <w:r>
        <w:rPr>
          <w:b/>
        </w:rPr>
        <w:t xml:space="preserve">Proposal 1: </w:t>
      </w:r>
      <w:r w:rsidRPr="004B2C25">
        <w:rPr>
          <w:b/>
        </w:rPr>
        <w:t>A UE on a vehicle with a mobile IAB-cell may consider the</w:t>
      </w:r>
      <w:r>
        <w:rPr>
          <w:b/>
        </w:rPr>
        <w:t xml:space="preserve"> frequency providing mobile IAB-</w:t>
      </w:r>
      <w:r w:rsidRPr="004B2C25">
        <w:rPr>
          <w:b/>
        </w:rPr>
        <w:t xml:space="preserve">cell to be the highest priority, as indicated by </w:t>
      </w:r>
      <w:r w:rsidRPr="0054257E">
        <w:rPr>
          <w:b/>
          <w:i/>
        </w:rPr>
        <w:t>MobileIAB-InterFreqCarrierFreqInfo-r18</w:t>
      </w:r>
      <w:r>
        <w:rPr>
          <w:b/>
        </w:rPr>
        <w:t xml:space="preserve"> in SIB4 (i.e. remove “</w:t>
      </w:r>
      <w:r w:rsidRPr="00F32BFE">
        <w:rPr>
          <w:b/>
        </w:rPr>
        <w:t>mobile IAB</w:t>
      </w:r>
      <w:r>
        <w:rPr>
          <w:b/>
        </w:rPr>
        <w:t>-</w:t>
      </w:r>
      <w:r w:rsidRPr="00F32BFE">
        <w:rPr>
          <w:b/>
        </w:rPr>
        <w:t>cell is the best cell</w:t>
      </w:r>
      <w:r>
        <w:rPr>
          <w:b/>
        </w:rPr>
        <w:t>” condition)</w:t>
      </w:r>
      <w:r>
        <w:rPr>
          <w:rFonts w:asciiTheme="minorEastAsia" w:eastAsiaTheme="minorEastAsia" w:hAnsiTheme="minorEastAsia" w:hint="eastAsia"/>
          <w:b/>
          <w:lang w:eastAsia="zh-CN"/>
        </w:rPr>
        <w:t>.</w:t>
      </w:r>
    </w:p>
    <w:p w14:paraId="253737CD" w14:textId="4908893B" w:rsidR="00485677" w:rsidRPr="00405D72" w:rsidRDefault="00D82421" w:rsidP="00485677">
      <w:pPr>
        <w:rPr>
          <w:i/>
          <w:color w:val="FF0000"/>
          <w:u w:val="single"/>
        </w:rPr>
      </w:pPr>
      <w:r>
        <w:rPr>
          <w:i/>
          <w:color w:val="FF0000"/>
          <w:u w:val="single"/>
        </w:rPr>
        <w:t>Cell list usage</w:t>
      </w:r>
    </w:p>
    <w:p w14:paraId="379341B7" w14:textId="77777777" w:rsidR="00CE0DA1" w:rsidRPr="00373CD5" w:rsidRDefault="00CE0DA1" w:rsidP="00CE0DA1">
      <w:pPr>
        <w:rPr>
          <w:b/>
        </w:rPr>
      </w:pPr>
      <w:r>
        <w:rPr>
          <w:b/>
        </w:rPr>
        <w:t>Proposal 2</w:t>
      </w:r>
      <w:r w:rsidRPr="00324C9D">
        <w:rPr>
          <w:b/>
        </w:rPr>
        <w:t xml:space="preserve">: </w:t>
      </w:r>
      <w:r>
        <w:rPr>
          <w:b/>
        </w:rPr>
        <w:t>For the mobile-IAB cell list in SIB4</w:t>
      </w:r>
      <w:r w:rsidRPr="00426B09">
        <w:rPr>
          <w:b/>
        </w:rPr>
        <w:t xml:space="preserve">, </w:t>
      </w:r>
      <w:r>
        <w:rPr>
          <w:b/>
        </w:rPr>
        <w:t xml:space="preserve">there could be </w:t>
      </w:r>
      <w:r w:rsidRPr="00B84FAE">
        <w:rPr>
          <w:b/>
        </w:rPr>
        <w:t>no</w:t>
      </w:r>
      <w:r>
        <w:rPr>
          <w:b/>
        </w:rPr>
        <w:t xml:space="preserve"> spec</w:t>
      </w:r>
      <w:r w:rsidRPr="00B84FAE">
        <w:rPr>
          <w:b/>
        </w:rPr>
        <w:t xml:space="preserve"> impact</w:t>
      </w:r>
      <w:r>
        <w:rPr>
          <w:b/>
        </w:rPr>
        <w:t xml:space="preserve"> in</w:t>
      </w:r>
      <w:r w:rsidRPr="00B84FAE">
        <w:rPr>
          <w:b/>
        </w:rPr>
        <w:t xml:space="preserve"> TS 38.304</w:t>
      </w:r>
      <w:r>
        <w:rPr>
          <w:b/>
        </w:rPr>
        <w:t xml:space="preserve">. RAN2 can just </w:t>
      </w:r>
      <w:r w:rsidRPr="00426B09">
        <w:rPr>
          <w:b/>
        </w:rPr>
        <w:t xml:space="preserve">capture it in </w:t>
      </w:r>
      <w:r w:rsidRPr="00373CD5">
        <w:rPr>
          <w:b/>
        </w:rPr>
        <w:t>the TS 38.331</w:t>
      </w:r>
      <w:r>
        <w:rPr>
          <w:b/>
        </w:rPr>
        <w:t xml:space="preserve"> in its field description</w:t>
      </w:r>
      <w:r w:rsidRPr="00426B09">
        <w:rPr>
          <w:b/>
        </w:rPr>
        <w:t>: “This</w:t>
      </w:r>
      <w:r>
        <w:rPr>
          <w:b/>
        </w:rPr>
        <w:t xml:space="preserve"> field indicates the mobile-IAB </w:t>
      </w:r>
      <w:r w:rsidRPr="00426B09">
        <w:rPr>
          <w:b/>
        </w:rPr>
        <w:t>cell list in that frequency.</w:t>
      </w:r>
      <w:r w:rsidRPr="00373CD5">
        <w:t xml:space="preserve"> </w:t>
      </w:r>
      <w:r w:rsidRPr="00373CD5">
        <w:rPr>
          <w:b/>
        </w:rPr>
        <w:t xml:space="preserve">” </w:t>
      </w:r>
    </w:p>
    <w:p w14:paraId="5DB5A716" w14:textId="75D18766" w:rsidR="00EB7DB9" w:rsidRPr="00BF4D68" w:rsidRDefault="00BF4D68" w:rsidP="00BF4D68">
      <w:pPr>
        <w:keepNext/>
        <w:keepLines/>
        <w:pBdr>
          <w:top w:val="single" w:sz="12" w:space="3" w:color="auto"/>
        </w:pBdr>
        <w:spacing w:before="240"/>
        <w:ind w:left="1134" w:hanging="1134"/>
        <w:outlineLvl w:val="0"/>
        <w:rPr>
          <w:rFonts w:ascii="Arial" w:eastAsia="Malgun Gothic" w:hAnsi="Arial"/>
          <w:sz w:val="36"/>
          <w:lang w:eastAsia="de-DE"/>
        </w:rPr>
      </w:pPr>
      <w:bookmarkStart w:id="6" w:name="_GoBack"/>
      <w:bookmarkEnd w:id="6"/>
      <w:r w:rsidRPr="00BF4D68">
        <w:rPr>
          <w:rFonts w:ascii="Arial" w:eastAsia="Malgun Gothic" w:hAnsi="Arial"/>
          <w:sz w:val="36"/>
          <w:lang w:eastAsia="de-DE"/>
        </w:rPr>
        <w:t>4</w:t>
      </w:r>
      <w:r w:rsidRPr="00BF4D68">
        <w:rPr>
          <w:rFonts w:ascii="Arial" w:eastAsia="Malgun Gothic" w:hAnsi="Arial"/>
          <w:sz w:val="36"/>
          <w:lang w:eastAsia="de-DE"/>
        </w:rPr>
        <w:tab/>
      </w:r>
      <w:r w:rsidR="00EB7DB9" w:rsidRPr="00BF4D68">
        <w:rPr>
          <w:rFonts w:ascii="Arial" w:eastAsia="Malgun Gothic" w:hAnsi="Arial"/>
          <w:sz w:val="36"/>
          <w:lang w:eastAsia="de-DE"/>
        </w:rPr>
        <w:t>Reference</w:t>
      </w:r>
    </w:p>
    <w:p w14:paraId="44F4DF8B" w14:textId="18DF2211" w:rsidR="00CF21D2" w:rsidRPr="00C74303" w:rsidRDefault="005930C4" w:rsidP="00CD2BB9">
      <w:pPr>
        <w:pStyle w:val="af8"/>
        <w:numPr>
          <w:ilvl w:val="0"/>
          <w:numId w:val="18"/>
        </w:numPr>
        <w:spacing w:after="180"/>
        <w:rPr>
          <w:rFonts w:ascii="Times New Roman" w:hAnsi="Times New Roman"/>
          <w:szCs w:val="20"/>
          <w:lang w:val="en-GB"/>
        </w:rPr>
      </w:pPr>
      <w:bookmarkStart w:id="7" w:name="_Ref149136955"/>
      <w:r w:rsidRPr="005930C4">
        <w:rPr>
          <w:rFonts w:ascii="Times New Roman" w:hAnsi="Times New Roman"/>
          <w:sz w:val="20"/>
          <w:szCs w:val="20"/>
          <w:lang w:val="en-GB"/>
        </w:rPr>
        <w:t>Chairman notes of 3GPP TSG-RAN WG2 meeting #123.</w:t>
      </w:r>
      <w:bookmarkEnd w:id="7"/>
    </w:p>
    <w:p w14:paraId="5F0508E4" w14:textId="787CE98A" w:rsidR="00C74303" w:rsidRPr="00CD2BB9" w:rsidRDefault="00C74303" w:rsidP="00C74303">
      <w:pPr>
        <w:pStyle w:val="af8"/>
        <w:numPr>
          <w:ilvl w:val="0"/>
          <w:numId w:val="18"/>
        </w:numPr>
        <w:spacing w:after="180"/>
        <w:rPr>
          <w:rFonts w:ascii="Times New Roman" w:hAnsi="Times New Roman"/>
          <w:szCs w:val="20"/>
          <w:lang w:val="en-GB"/>
        </w:rPr>
      </w:pPr>
      <w:bookmarkStart w:id="8" w:name="_Ref149743302"/>
      <w:r w:rsidRPr="00C74303">
        <w:rPr>
          <w:rFonts w:ascii="Times New Roman" w:hAnsi="Times New Roman"/>
          <w:sz w:val="20"/>
          <w:szCs w:val="20"/>
          <w:lang w:val="en-GB"/>
        </w:rPr>
        <w:t>R2-2311608, TS38.304 running CR for R18 mIAB, Intel.</w:t>
      </w:r>
      <w:bookmarkEnd w:id="8"/>
    </w:p>
    <w:sectPr w:rsidR="00C74303" w:rsidRPr="00CD2BB9" w:rsidSect="00EB6BFE">
      <w:headerReference w:type="even"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A8C90" w14:textId="77777777" w:rsidR="001C123E" w:rsidRDefault="001C123E" w:rsidP="00796430">
      <w:r>
        <w:separator/>
      </w:r>
    </w:p>
  </w:endnote>
  <w:endnote w:type="continuationSeparator" w:id="0">
    <w:p w14:paraId="2217A3C0" w14:textId="77777777" w:rsidR="001C123E" w:rsidRDefault="001C123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4D1FD" w14:textId="77777777" w:rsidR="001C123E" w:rsidRDefault="001C123E" w:rsidP="00796430">
      <w:r>
        <w:separator/>
      </w:r>
    </w:p>
  </w:footnote>
  <w:footnote w:type="continuationSeparator" w:id="0">
    <w:p w14:paraId="44EF0F20" w14:textId="77777777" w:rsidR="001C123E" w:rsidRDefault="001C123E"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lvlText w:val="%1"/>
      <w:lvlJc w:val="left"/>
      <w:pPr>
        <w:tabs>
          <w:tab w:val="num" w:pos="-202"/>
        </w:tabs>
        <w:ind w:left="-202" w:hanging="432"/>
      </w:pPr>
      <w:rPr>
        <w:rFonts w:hint="default"/>
      </w:rPr>
    </w:lvl>
    <w:lvl w:ilvl="1">
      <w:start w:val="1"/>
      <w:numFmt w:val="decimal"/>
      <w:lvlText w:val="%1.%2"/>
      <w:lvlJc w:val="left"/>
      <w:pPr>
        <w:tabs>
          <w:tab w:val="num" w:pos="-58"/>
        </w:tabs>
        <w:ind w:left="-58" w:hanging="576"/>
      </w:pPr>
      <w:rPr>
        <w:rFonts w:hint="default"/>
      </w:rPr>
    </w:lvl>
    <w:lvl w:ilvl="2">
      <w:start w:val="1"/>
      <w:numFmt w:val="decimal"/>
      <w:lvlText w:val="%1.%2.%3"/>
      <w:lvlJc w:val="left"/>
      <w:pPr>
        <w:tabs>
          <w:tab w:val="num" w:pos="86"/>
        </w:tabs>
        <w:ind w:left="86" w:hanging="720"/>
      </w:pPr>
      <w:rPr>
        <w:rFonts w:hint="default"/>
        <w:lang w:val="en-US"/>
      </w:rPr>
    </w:lvl>
    <w:lvl w:ilvl="3">
      <w:start w:val="1"/>
      <w:numFmt w:val="decimal"/>
      <w:pStyle w:val="4"/>
      <w:lvlText w:val="%1.%2.%3.%4"/>
      <w:lvlJc w:val="left"/>
      <w:pPr>
        <w:tabs>
          <w:tab w:val="num" w:pos="230"/>
        </w:tabs>
        <w:ind w:left="230" w:hanging="864"/>
      </w:pPr>
      <w:rPr>
        <w:rFonts w:hint="default"/>
        <w:lang w:val="en-US"/>
      </w:rPr>
    </w:lvl>
    <w:lvl w:ilvl="4">
      <w:start w:val="1"/>
      <w:numFmt w:val="decimal"/>
      <w:pStyle w:val="5"/>
      <w:lvlText w:val="%1.%2.%3.%4.%5"/>
      <w:lvlJc w:val="left"/>
      <w:pPr>
        <w:tabs>
          <w:tab w:val="num" w:pos="374"/>
        </w:tabs>
        <w:ind w:left="374" w:hanging="1008"/>
      </w:pPr>
      <w:rPr>
        <w:rFonts w:hint="default"/>
      </w:rPr>
    </w:lvl>
    <w:lvl w:ilvl="5">
      <w:start w:val="1"/>
      <w:numFmt w:val="decimal"/>
      <w:pStyle w:val="6"/>
      <w:lvlText w:val="%1.%2.%3.%4.%5.%6"/>
      <w:lvlJc w:val="left"/>
      <w:pPr>
        <w:tabs>
          <w:tab w:val="num" w:pos="518"/>
        </w:tabs>
        <w:ind w:left="518" w:hanging="1152"/>
      </w:pPr>
      <w:rPr>
        <w:rFonts w:hint="default"/>
      </w:rPr>
    </w:lvl>
    <w:lvl w:ilvl="6">
      <w:start w:val="1"/>
      <w:numFmt w:val="decimal"/>
      <w:pStyle w:val="7"/>
      <w:lvlText w:val="%1.%2.%3.%4.%5.%6.%7"/>
      <w:lvlJc w:val="left"/>
      <w:pPr>
        <w:tabs>
          <w:tab w:val="num" w:pos="662"/>
        </w:tabs>
        <w:ind w:left="662" w:hanging="1296"/>
      </w:pPr>
      <w:rPr>
        <w:rFonts w:hint="default"/>
      </w:rPr>
    </w:lvl>
    <w:lvl w:ilvl="7">
      <w:start w:val="1"/>
      <w:numFmt w:val="decimal"/>
      <w:pStyle w:val="8"/>
      <w:lvlText w:val="%1.%2.%3.%4.%5.%6.%7.%8"/>
      <w:lvlJc w:val="left"/>
      <w:pPr>
        <w:tabs>
          <w:tab w:val="num" w:pos="806"/>
        </w:tabs>
        <w:ind w:left="806" w:hanging="1440"/>
      </w:pPr>
      <w:rPr>
        <w:rFonts w:hint="default"/>
      </w:rPr>
    </w:lvl>
    <w:lvl w:ilvl="8">
      <w:start w:val="1"/>
      <w:numFmt w:val="decimal"/>
      <w:pStyle w:val="9"/>
      <w:lvlText w:val="%1.%2.%3.%4.%5.%6.%7.%8.%9"/>
      <w:lvlJc w:val="left"/>
      <w:pPr>
        <w:tabs>
          <w:tab w:val="num" w:pos="950"/>
        </w:tabs>
        <w:ind w:left="950" w:hanging="1584"/>
      </w:pPr>
      <w:rPr>
        <w:rFont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9616190"/>
    <w:multiLevelType w:val="hybridMultilevel"/>
    <w:tmpl w:val="5D2CDF90"/>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6120"/>
        </w:tabs>
        <w:ind w:left="-6120" w:hanging="360"/>
      </w:pPr>
      <w:rPr>
        <w:rFonts w:ascii="Courier New" w:hAnsi="Courier New" w:cs="Courier New" w:hint="default"/>
      </w:rPr>
    </w:lvl>
    <w:lvl w:ilvl="2" w:tplc="04090005">
      <w:start w:val="1"/>
      <w:numFmt w:val="bullet"/>
      <w:lvlText w:val=""/>
      <w:lvlJc w:val="left"/>
      <w:pPr>
        <w:tabs>
          <w:tab w:val="num" w:pos="-5400"/>
        </w:tabs>
        <w:ind w:left="-540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decimal"/>
      <w:lvlText w:val="%5."/>
      <w:lvlJc w:val="left"/>
      <w:pPr>
        <w:tabs>
          <w:tab w:val="num" w:pos="1170"/>
        </w:tabs>
        <w:ind w:left="1170" w:hanging="360"/>
      </w:pPr>
    </w:lvl>
    <w:lvl w:ilvl="5" w:tplc="04090005">
      <w:start w:val="1"/>
      <w:numFmt w:val="decimal"/>
      <w:lvlText w:val="%6."/>
      <w:lvlJc w:val="left"/>
      <w:pPr>
        <w:tabs>
          <w:tab w:val="num" w:pos="1890"/>
        </w:tabs>
        <w:ind w:left="1890" w:hanging="360"/>
      </w:pPr>
    </w:lvl>
    <w:lvl w:ilvl="6" w:tplc="04090001">
      <w:start w:val="1"/>
      <w:numFmt w:val="decimal"/>
      <w:lvlText w:val="%7."/>
      <w:lvlJc w:val="left"/>
      <w:pPr>
        <w:tabs>
          <w:tab w:val="num" w:pos="2610"/>
        </w:tabs>
        <w:ind w:left="2610" w:hanging="360"/>
      </w:pPr>
    </w:lvl>
    <w:lvl w:ilvl="7" w:tplc="04090003">
      <w:start w:val="1"/>
      <w:numFmt w:val="decimal"/>
      <w:lvlText w:val="%8."/>
      <w:lvlJc w:val="left"/>
      <w:pPr>
        <w:tabs>
          <w:tab w:val="num" w:pos="3330"/>
        </w:tabs>
        <w:ind w:left="3330" w:hanging="360"/>
      </w:pPr>
    </w:lvl>
    <w:lvl w:ilvl="8" w:tplc="04090005">
      <w:start w:val="1"/>
      <w:numFmt w:val="decimal"/>
      <w:lvlText w:val="%9."/>
      <w:lvlJc w:val="left"/>
      <w:pPr>
        <w:tabs>
          <w:tab w:val="num" w:pos="4050"/>
        </w:tabs>
        <w:ind w:left="4050" w:hanging="360"/>
      </w:pPr>
    </w:lvl>
  </w:abstractNum>
  <w:num w:numId="1">
    <w:abstractNumId w:val="0"/>
  </w:num>
  <w:num w:numId="2">
    <w:abstractNumId w:val="12"/>
  </w:num>
  <w:num w:numId="3">
    <w:abstractNumId w:val="9"/>
  </w:num>
  <w:num w:numId="4">
    <w:abstractNumId w:val="6"/>
  </w:num>
  <w:num w:numId="5">
    <w:abstractNumId w:val="16"/>
  </w:num>
  <w:num w:numId="6">
    <w:abstractNumId w:val="7"/>
  </w:num>
  <w:num w:numId="7">
    <w:abstractNumId w:val="3"/>
  </w:num>
  <w:num w:numId="8">
    <w:abstractNumId w:val="13"/>
  </w:num>
  <w:num w:numId="9">
    <w:abstractNumId w:val="15"/>
    <w:lvlOverride w:ilvl="0">
      <w:startOverride w:val="1"/>
    </w:lvlOverride>
  </w:num>
  <w:num w:numId="10">
    <w:abstractNumId w:val="2"/>
  </w:num>
  <w:num w:numId="11">
    <w:abstractNumId w:val="10"/>
  </w:num>
  <w:num w:numId="12">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8"/>
  </w:num>
  <w:num w:numId="16">
    <w:abstractNumId w:val="18"/>
  </w:num>
  <w:num w:numId="17">
    <w:abstractNumId w:val="5"/>
  </w:num>
  <w:num w:numId="18">
    <w:abstractNumId w:val="1"/>
  </w:num>
  <w:num w:numId="19">
    <w:abstractNumId w:val="21"/>
  </w:num>
  <w:num w:numId="20">
    <w:abstractNumId w:val="20"/>
  </w:num>
  <w:num w:numId="21">
    <w:abstractNumId w:val="19"/>
  </w:num>
  <w:num w:numId="22">
    <w:abstractNumId w:val="17"/>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832"/>
    <w:rsid w:val="00001E66"/>
    <w:rsid w:val="00001E75"/>
    <w:rsid w:val="0000210F"/>
    <w:rsid w:val="00002265"/>
    <w:rsid w:val="00002368"/>
    <w:rsid w:val="000023A4"/>
    <w:rsid w:val="0000270D"/>
    <w:rsid w:val="00002776"/>
    <w:rsid w:val="00002A67"/>
    <w:rsid w:val="00002B17"/>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5FE5"/>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F5A"/>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857"/>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A55"/>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946"/>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6C2E"/>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D6"/>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4"/>
    <w:rsid w:val="00152FC8"/>
    <w:rsid w:val="00153813"/>
    <w:rsid w:val="0015400A"/>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FF8"/>
    <w:rsid w:val="00186046"/>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D4"/>
    <w:rsid w:val="001C123E"/>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5F6A"/>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551"/>
    <w:rsid w:val="001F67C0"/>
    <w:rsid w:val="001F6DC0"/>
    <w:rsid w:val="001F75AB"/>
    <w:rsid w:val="001F786D"/>
    <w:rsid w:val="001F7B73"/>
    <w:rsid w:val="002001C2"/>
    <w:rsid w:val="0020095A"/>
    <w:rsid w:val="00200B72"/>
    <w:rsid w:val="00200DD2"/>
    <w:rsid w:val="002010B3"/>
    <w:rsid w:val="00201173"/>
    <w:rsid w:val="00201439"/>
    <w:rsid w:val="00201A60"/>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366"/>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77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3E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9D"/>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CD5"/>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A8F"/>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9FC"/>
    <w:rsid w:val="003F4A1D"/>
    <w:rsid w:val="003F4ABB"/>
    <w:rsid w:val="003F566C"/>
    <w:rsid w:val="003F5B73"/>
    <w:rsid w:val="003F622A"/>
    <w:rsid w:val="003F699E"/>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09"/>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435"/>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66E"/>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6C"/>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43A"/>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C25"/>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6B23"/>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70F0"/>
    <w:rsid w:val="004C72F3"/>
    <w:rsid w:val="004C7355"/>
    <w:rsid w:val="004C7551"/>
    <w:rsid w:val="004C76F8"/>
    <w:rsid w:val="004C7808"/>
    <w:rsid w:val="004C7AC7"/>
    <w:rsid w:val="004C7C90"/>
    <w:rsid w:val="004D05F5"/>
    <w:rsid w:val="004D119F"/>
    <w:rsid w:val="004D171B"/>
    <w:rsid w:val="004D174E"/>
    <w:rsid w:val="004D1771"/>
    <w:rsid w:val="004D1FEE"/>
    <w:rsid w:val="004D2067"/>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43A"/>
    <w:rsid w:val="004E45EF"/>
    <w:rsid w:val="004E47F9"/>
    <w:rsid w:val="004E491B"/>
    <w:rsid w:val="004E4DAB"/>
    <w:rsid w:val="004E4E6D"/>
    <w:rsid w:val="004E53AA"/>
    <w:rsid w:val="004E5D03"/>
    <w:rsid w:val="004E5F15"/>
    <w:rsid w:val="004E6185"/>
    <w:rsid w:val="004E6273"/>
    <w:rsid w:val="004E63E4"/>
    <w:rsid w:val="004E6872"/>
    <w:rsid w:val="004E6E98"/>
    <w:rsid w:val="004E6F9A"/>
    <w:rsid w:val="004E719A"/>
    <w:rsid w:val="004E7302"/>
    <w:rsid w:val="004E7775"/>
    <w:rsid w:val="004E7BD8"/>
    <w:rsid w:val="004E7C3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FD"/>
    <w:rsid w:val="004F3F7F"/>
    <w:rsid w:val="004F4233"/>
    <w:rsid w:val="004F44D2"/>
    <w:rsid w:val="004F492C"/>
    <w:rsid w:val="004F4B8A"/>
    <w:rsid w:val="004F4C92"/>
    <w:rsid w:val="004F4E6C"/>
    <w:rsid w:val="004F4EC3"/>
    <w:rsid w:val="004F4F07"/>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7E"/>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438"/>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0C4"/>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7DC"/>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586"/>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3E4"/>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91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41A"/>
    <w:rsid w:val="00681537"/>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4D6A"/>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5F"/>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242"/>
    <w:rsid w:val="007619F0"/>
    <w:rsid w:val="00761CE3"/>
    <w:rsid w:val="00761D03"/>
    <w:rsid w:val="00762337"/>
    <w:rsid w:val="00762648"/>
    <w:rsid w:val="007627DA"/>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012"/>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95C"/>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29A"/>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30E"/>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7D9"/>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4A0"/>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32"/>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0C7"/>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544"/>
    <w:rsid w:val="00882995"/>
    <w:rsid w:val="00882DA7"/>
    <w:rsid w:val="00883112"/>
    <w:rsid w:val="008832A7"/>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6A"/>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07F5B"/>
    <w:rsid w:val="00910319"/>
    <w:rsid w:val="00910564"/>
    <w:rsid w:val="009107E2"/>
    <w:rsid w:val="0091086B"/>
    <w:rsid w:val="00910A68"/>
    <w:rsid w:val="00911034"/>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17"/>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9D"/>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32B"/>
    <w:rsid w:val="0098056F"/>
    <w:rsid w:val="00980E50"/>
    <w:rsid w:val="0098124C"/>
    <w:rsid w:val="0098139A"/>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BA"/>
    <w:rsid w:val="0099221A"/>
    <w:rsid w:val="00992260"/>
    <w:rsid w:val="009923E9"/>
    <w:rsid w:val="009923EC"/>
    <w:rsid w:val="00992477"/>
    <w:rsid w:val="00992490"/>
    <w:rsid w:val="009926E0"/>
    <w:rsid w:val="0099272E"/>
    <w:rsid w:val="00992F1E"/>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443"/>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1D36"/>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4F9A"/>
    <w:rsid w:val="00A253AA"/>
    <w:rsid w:val="00A254DC"/>
    <w:rsid w:val="00A25D30"/>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802"/>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479"/>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DB5"/>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8C5"/>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2D0"/>
    <w:rsid w:val="00AE242E"/>
    <w:rsid w:val="00AE2725"/>
    <w:rsid w:val="00AE2953"/>
    <w:rsid w:val="00AE2D9C"/>
    <w:rsid w:val="00AE30F1"/>
    <w:rsid w:val="00AE3333"/>
    <w:rsid w:val="00AE34D7"/>
    <w:rsid w:val="00AE36C7"/>
    <w:rsid w:val="00AE38BF"/>
    <w:rsid w:val="00AE3A34"/>
    <w:rsid w:val="00AE3AF0"/>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C1B"/>
    <w:rsid w:val="00AF7DC4"/>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2B7"/>
    <w:rsid w:val="00B1537B"/>
    <w:rsid w:val="00B155D4"/>
    <w:rsid w:val="00B155E5"/>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18A0"/>
    <w:rsid w:val="00B21CB5"/>
    <w:rsid w:val="00B21F8F"/>
    <w:rsid w:val="00B22629"/>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72E"/>
    <w:rsid w:val="00B60874"/>
    <w:rsid w:val="00B60E65"/>
    <w:rsid w:val="00B60EF3"/>
    <w:rsid w:val="00B60F86"/>
    <w:rsid w:val="00B60FA9"/>
    <w:rsid w:val="00B610DB"/>
    <w:rsid w:val="00B61570"/>
    <w:rsid w:val="00B61588"/>
    <w:rsid w:val="00B61617"/>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4FAE"/>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EBB"/>
    <w:rsid w:val="00BD4FC5"/>
    <w:rsid w:val="00BD4FD1"/>
    <w:rsid w:val="00BD512F"/>
    <w:rsid w:val="00BD542E"/>
    <w:rsid w:val="00BD55B1"/>
    <w:rsid w:val="00BD5E48"/>
    <w:rsid w:val="00BD62D9"/>
    <w:rsid w:val="00BD6580"/>
    <w:rsid w:val="00BD65A0"/>
    <w:rsid w:val="00BD6698"/>
    <w:rsid w:val="00BD68CF"/>
    <w:rsid w:val="00BD69F6"/>
    <w:rsid w:val="00BD6B3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13C"/>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5B3"/>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4F27"/>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296"/>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1EB"/>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47E2D"/>
    <w:rsid w:val="00C501BC"/>
    <w:rsid w:val="00C5024A"/>
    <w:rsid w:val="00C50C8D"/>
    <w:rsid w:val="00C50D5E"/>
    <w:rsid w:val="00C511DF"/>
    <w:rsid w:val="00C514AF"/>
    <w:rsid w:val="00C51565"/>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303"/>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3FDD"/>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2BB9"/>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DA1"/>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6EDE"/>
    <w:rsid w:val="00CF73CF"/>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69C"/>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605"/>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AEA"/>
    <w:rsid w:val="00D81F7D"/>
    <w:rsid w:val="00D820A7"/>
    <w:rsid w:val="00D8214C"/>
    <w:rsid w:val="00D822C6"/>
    <w:rsid w:val="00D82421"/>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96"/>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57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1BD"/>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A1C"/>
    <w:rsid w:val="00E812D2"/>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62F"/>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8AC"/>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3FF8"/>
    <w:rsid w:val="00EE4001"/>
    <w:rsid w:val="00EE4BD2"/>
    <w:rsid w:val="00EE4FE1"/>
    <w:rsid w:val="00EE5098"/>
    <w:rsid w:val="00EE556C"/>
    <w:rsid w:val="00EE5ADE"/>
    <w:rsid w:val="00EE5AE2"/>
    <w:rsid w:val="00EE6001"/>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BFE"/>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BDE"/>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1A62"/>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596C"/>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0DA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Char"/>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3"/>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Char2">
    <w:name w:val="批注文字 Char"/>
    <w:link w:val="af2"/>
    <w:uiPriority w:val="99"/>
    <w:qFormat/>
    <w:rsid w:val="00D67B66"/>
    <w:rPr>
      <w:rFonts w:ascii="Arial" w:eastAsia="宋体" w:hAnsi="Arial"/>
    </w:rPr>
  </w:style>
  <w:style w:type="paragraph" w:customStyle="1" w:styleId="Agreement">
    <w:name w:val="Agreement"/>
    <w:basedOn w:val="a0"/>
    <w:next w:val="a0"/>
    <w:uiPriority w:val="99"/>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textAlignment w:val="auto"/>
    </w:pPr>
    <w:rPr>
      <w:lang w:eastAsia="en-US"/>
    </w:rPr>
  </w:style>
  <w:style w:type="paragraph" w:customStyle="1" w:styleId="afc">
    <w:name w:val="表格题注"/>
    <w:basedOn w:val="a0"/>
    <w:rsid w:val="00E03D28"/>
    <w:pPr>
      <w:overflowPunct/>
      <w:autoSpaceDE/>
      <w:autoSpaceDN/>
      <w:adjustRightInd/>
      <w:textAlignment w:val="auto"/>
    </w:pPr>
    <w:rPr>
      <w:lang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0"/>
    <w:rsid w:val="003E013A"/>
    <w:rPr>
      <w:b/>
    </w:rPr>
  </w:style>
  <w:style w:type="character" w:customStyle="1" w:styleId="2Char0">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Char">
    <w:name w:val="标题 2 Char"/>
    <w:aliases w:val="H2 Char,h2 Char,DO NOT USE_h2 Char,h21 Char,Heading 2 3GPP Char,Head2A Char,2 Char,UNDERRUBRIK 1-2 Char,level 2 Char,2nd level Char,†berschrift 2 Char"/>
    <w:basedOn w:val="a1"/>
    <w:link w:val="2"/>
    <w:rsid w:val="001319AB"/>
    <w:rPr>
      <w:rFonts w:ascii="Arial" w:hAnsi="Arial"/>
      <w:sz w:val="32"/>
      <w:szCs w:val="32"/>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basedOn w:val="a1"/>
    <w:link w:val="30"/>
    <w:rsid w:val="0066354E"/>
    <w:rPr>
      <w:rFonts w:ascii="Arial" w:hAnsi="Arial"/>
      <w:sz w:val="28"/>
      <w:szCs w:val="28"/>
      <w:lang w:val="en-GB"/>
    </w:rPr>
  </w:style>
  <w:style w:type="character" w:customStyle="1" w:styleId="eop">
    <w:name w:val="eop"/>
    <w:basedOn w:val="a1"/>
    <w:rsid w:val="00996B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194777191">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C038B-E407-4520-8DA7-3FBF37CE6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393</TotalTime>
  <Pages>2</Pages>
  <Words>800</Words>
  <Characters>4563</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5353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ModifiedBy>Huawei-Yulong</cp:lastModifiedBy>
  <cp:revision>130</cp:revision>
  <cp:lastPrinted>2016-09-19T04:11:00Z</cp:lastPrinted>
  <dcterms:created xsi:type="dcterms:W3CDTF">2023-10-24T09:53:00Z</dcterms:created>
  <dcterms:modified xsi:type="dcterms:W3CDTF">2023-11-02T14:12:00Z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(3)PLBJM8XsmnEPDTJMlz5NkyyaMgkJWKRlLKmTL6sgA/26djKUr/Vk08KVh5NNz9LSncL4l0m7
CP6o1jfIVvqKsMr0ZQLOsmsOJbj3/w2D54t/rGH9mb7jYuyUDCr3OHhn+DHNei98Dy3IMgpC
7rQW0aYDModq6GKPkcA5EDYrFOjSCLDVb63QAR/V63nIFOVoljrIXKdOXiBpnhOx5WKcIPXe
Mdlt+X2b6KXg0z59hW</vt:lpwstr>
  </property>
  <property fmtid="{D5CDD505-2E9C-101B-9397-08002B2CF9AE}" pid="25" name="_2015_ms_pID_725343_00">
    <vt:lpwstr>_2015_ms_pID_725343</vt:lpwstr>
  </property>
  <property fmtid="{D5CDD505-2E9C-101B-9397-08002B2CF9AE}" pid="26" name="_2015_ms_pID_7253431">
    <vt:lpwstr>tjy//WwofpZraSonVxz/CkfkcZboIMZGk0EhMpZ9d9NX9WKPi9rsXK
Vjrr8FSDqI1MgVReRwfNnrngXRF1cABxkxZH9lHAzZX5JlltMyIqSVZ5NQEKbxBIcADKlbIZ
4Pc0Q0wTM7+IeihWsSBhRFnYSvvGU2sVG6AABNgJWE5ZvaJUSiw8B/wmtVM4DgdZFSb8pF7m
Lzxnce2/h0ncwcZFSArnp1tvIwnDb5MF5nzz</vt:lpwstr>
  </property>
  <property fmtid="{D5CDD505-2E9C-101B-9397-08002B2CF9AE}" pid="27" name="_2015_ms_pID_7253431_00">
    <vt:lpwstr>_2015_ms_pID_7253431</vt:lpwstr>
  </property>
  <property fmtid="{D5CDD505-2E9C-101B-9397-08002B2CF9AE}" pid="28" name="_2015_ms_pID_7253432">
    <vt:lpwstr>xA==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1698808393</vt:lpwstr>
  </property>
</Properties>
</file>